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62A76" w14:textId="4FFCE3AF" w:rsidR="00177B88" w:rsidRPr="00A73917" w:rsidRDefault="00177B88" w:rsidP="00692002">
      <w:pPr>
        <w:tabs>
          <w:tab w:val="center" w:pos="4536"/>
          <w:tab w:val="right" w:pos="9639"/>
        </w:tabs>
        <w:spacing w:after="0"/>
        <w:rPr>
          <w:rFonts w:ascii="Arial" w:eastAsia="MS Mincho" w:hAnsi="Arial" w:cs="Arial"/>
          <w:b/>
          <w:bCs/>
          <w:sz w:val="24"/>
          <w:lang w:eastAsia="ja-JP"/>
        </w:rPr>
      </w:pPr>
      <w:r w:rsidRPr="00A73917">
        <w:rPr>
          <w:rFonts w:ascii="Arial" w:eastAsia="MS Mincho" w:hAnsi="Arial" w:cs="Arial"/>
          <w:b/>
          <w:bCs/>
          <w:sz w:val="24"/>
          <w:lang w:eastAsia="ja-JP"/>
        </w:rPr>
        <w:t xml:space="preserve">3GPP TSG RAN WG1 Meeting </w:t>
      </w:r>
      <w:r w:rsidR="004A30C2" w:rsidRPr="00A73917">
        <w:rPr>
          <w:rFonts w:ascii="Arial" w:eastAsia="MS Mincho" w:hAnsi="Arial" w:cs="Arial"/>
          <w:b/>
          <w:bCs/>
          <w:sz w:val="24"/>
          <w:lang w:eastAsia="ja-JP"/>
        </w:rPr>
        <w:t>9</w:t>
      </w:r>
      <w:r w:rsidR="00985598" w:rsidRPr="00A73917">
        <w:rPr>
          <w:rFonts w:ascii="Arial" w:eastAsia="MS Mincho" w:hAnsi="Arial" w:cs="Arial"/>
          <w:b/>
          <w:bCs/>
          <w:sz w:val="24"/>
          <w:lang w:eastAsia="ja-JP"/>
        </w:rPr>
        <w:t>3</w:t>
      </w:r>
      <w:r w:rsidRPr="00A73917">
        <w:rPr>
          <w:rFonts w:ascii="Arial" w:eastAsia="MS Mincho" w:hAnsi="Arial" w:cs="Arial"/>
          <w:b/>
          <w:bCs/>
          <w:sz w:val="22"/>
          <w:lang w:eastAsia="ja-JP"/>
        </w:rPr>
        <w:tab/>
      </w:r>
      <w:r w:rsidRPr="00A73917">
        <w:rPr>
          <w:rFonts w:ascii="Arial" w:hAnsi="Arial" w:cs="Arial"/>
          <w:b/>
          <w:bCs/>
          <w:sz w:val="22"/>
        </w:rPr>
        <w:t xml:space="preserve">           </w:t>
      </w:r>
      <w:r w:rsidR="00E106C5" w:rsidRPr="00A73917">
        <w:rPr>
          <w:rFonts w:ascii="Arial" w:hAnsi="Arial" w:cs="Arial"/>
          <w:b/>
          <w:bCs/>
          <w:sz w:val="22"/>
        </w:rPr>
        <w:tab/>
      </w:r>
      <w:r w:rsidRPr="00A73917">
        <w:rPr>
          <w:rFonts w:ascii="Arial" w:eastAsia="MS Mincho" w:hAnsi="Arial" w:cs="Arial"/>
          <w:b/>
          <w:bCs/>
          <w:sz w:val="24"/>
          <w:lang w:eastAsia="ja-JP"/>
        </w:rPr>
        <w:t>R1-</w:t>
      </w:r>
      <w:r w:rsidR="00990894" w:rsidRPr="00A73917">
        <w:rPr>
          <w:rFonts w:ascii="Arial" w:eastAsia="MS Mincho" w:hAnsi="Arial" w:cs="Arial"/>
          <w:b/>
          <w:bCs/>
          <w:sz w:val="24"/>
          <w:lang w:eastAsia="ja-JP"/>
        </w:rPr>
        <w:t>1</w:t>
      </w:r>
      <w:r w:rsidR="00EE1F1A" w:rsidRPr="00A73917">
        <w:rPr>
          <w:rFonts w:ascii="Arial" w:eastAsia="MS Mincho" w:hAnsi="Arial" w:cs="Arial"/>
          <w:b/>
          <w:bCs/>
          <w:sz w:val="24"/>
          <w:lang w:eastAsia="ja-JP"/>
        </w:rPr>
        <w:t>8</w:t>
      </w:r>
      <w:r w:rsidR="00721804">
        <w:rPr>
          <w:rFonts w:ascii="Arial" w:eastAsia="MS Mincho" w:hAnsi="Arial" w:cs="Arial"/>
          <w:b/>
          <w:bCs/>
          <w:sz w:val="24"/>
          <w:lang w:eastAsia="ja-JP"/>
        </w:rPr>
        <w:t>06664</w:t>
      </w:r>
      <w:bookmarkStart w:id="0" w:name="_GoBack"/>
      <w:bookmarkEnd w:id="0"/>
    </w:p>
    <w:p w14:paraId="6C049855" w14:textId="607EE17B" w:rsidR="00B926CB" w:rsidRPr="00A73917" w:rsidRDefault="00B926CB" w:rsidP="00A73917">
      <w:pPr>
        <w:tabs>
          <w:tab w:val="center" w:pos="4536"/>
          <w:tab w:val="right" w:pos="9072"/>
        </w:tabs>
        <w:spacing w:after="240"/>
        <w:rPr>
          <w:rFonts w:ascii="Arial" w:eastAsia="MS Mincho" w:hAnsi="Arial" w:cs="Arial"/>
          <w:b/>
          <w:bCs/>
          <w:sz w:val="24"/>
          <w:lang w:eastAsia="ja-JP"/>
        </w:rPr>
      </w:pPr>
      <w:r w:rsidRPr="00A73917">
        <w:rPr>
          <w:rFonts w:ascii="Arial" w:eastAsia="MS Mincho" w:hAnsi="Arial" w:cs="Arial"/>
          <w:b/>
          <w:bCs/>
          <w:sz w:val="24"/>
          <w:lang w:eastAsia="ja-JP"/>
        </w:rPr>
        <w:t>Busan, Korea, May 21</w:t>
      </w:r>
      <w:r w:rsidRPr="00A73917">
        <w:rPr>
          <w:rFonts w:ascii="Arial" w:eastAsia="MS Mincho" w:hAnsi="Arial" w:cs="Arial"/>
          <w:b/>
          <w:bCs/>
          <w:sz w:val="24"/>
          <w:vertAlign w:val="superscript"/>
          <w:lang w:eastAsia="ja-JP"/>
        </w:rPr>
        <w:t>st</w:t>
      </w:r>
      <w:r w:rsidRPr="00A73917">
        <w:rPr>
          <w:rFonts w:ascii="Arial" w:eastAsia="MS Mincho" w:hAnsi="Arial" w:cs="Arial"/>
          <w:b/>
          <w:bCs/>
          <w:sz w:val="24"/>
          <w:lang w:eastAsia="ja-JP"/>
        </w:rPr>
        <w:t xml:space="preserve"> – 25</w:t>
      </w:r>
      <w:r w:rsidRPr="00A73917">
        <w:rPr>
          <w:rFonts w:ascii="Arial" w:eastAsia="MS Mincho" w:hAnsi="Arial" w:cs="Arial"/>
          <w:b/>
          <w:bCs/>
          <w:sz w:val="24"/>
          <w:vertAlign w:val="superscript"/>
          <w:lang w:eastAsia="ja-JP"/>
        </w:rPr>
        <w:t>th</w:t>
      </w:r>
      <w:r w:rsidRPr="00A73917">
        <w:rPr>
          <w:rFonts w:ascii="Arial" w:eastAsia="MS Mincho" w:hAnsi="Arial" w:cs="Arial"/>
          <w:b/>
          <w:bCs/>
          <w:sz w:val="24"/>
          <w:lang w:eastAsia="ja-JP"/>
        </w:rPr>
        <w:t>, 2018</w:t>
      </w:r>
    </w:p>
    <w:p w14:paraId="08AC4AD5" w14:textId="2FE19DF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F1707">
        <w:rPr>
          <w:rFonts w:cs="Arial"/>
          <w:b/>
          <w:bCs/>
          <w:sz w:val="24"/>
        </w:rPr>
        <w:t>7.7.</w:t>
      </w:r>
      <w:r w:rsidR="00FF42A0">
        <w:rPr>
          <w:rFonts w:cs="Arial"/>
          <w:b/>
          <w:bCs/>
          <w:sz w:val="24"/>
        </w:rPr>
        <w:t>3</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22F48E44"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7E69FB">
        <w:rPr>
          <w:rFonts w:ascii="Arial" w:hAnsi="Arial" w:cs="Arial"/>
          <w:b/>
          <w:bCs/>
          <w:sz w:val="24"/>
        </w:rPr>
        <w:t>IAB Synchronization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7B20D7D" w14:textId="77777777" w:rsidR="00B926CB" w:rsidRDefault="00B926CB" w:rsidP="00CB3C8E">
      <w:pPr>
        <w:spacing w:after="120"/>
      </w:pPr>
      <w:r>
        <w:t>Timing issues of t</w:t>
      </w:r>
      <w:r w:rsidR="004A466E" w:rsidRPr="00CE1280">
        <w:t>he Integra</w:t>
      </w:r>
      <w:r w:rsidR="00FF42A0">
        <w:t xml:space="preserve">ted Access and Backhaul (IAB) </w:t>
      </w:r>
      <w:r>
        <w:t>were discussed in RAN1#92bis with following agreements:</w:t>
      </w:r>
    </w:p>
    <w:p w14:paraId="21A4F6EA" w14:textId="77777777" w:rsidR="00B926CB" w:rsidRPr="00B926CB" w:rsidRDefault="00B926CB" w:rsidP="00B926CB">
      <w:pPr>
        <w:pStyle w:val="ListParagraph"/>
        <w:numPr>
          <w:ilvl w:val="0"/>
          <w:numId w:val="40"/>
        </w:numPr>
        <w:overflowPunct w:val="0"/>
        <w:autoSpaceDE w:val="0"/>
        <w:autoSpaceDN w:val="0"/>
        <w:adjustRightInd w:val="0"/>
        <w:spacing w:after="180"/>
        <w:rPr>
          <w:i/>
          <w:sz w:val="20"/>
          <w:lang w:val="en-GB" w:eastAsia="ko-KR"/>
        </w:rPr>
      </w:pPr>
      <w:r w:rsidRPr="00B926CB">
        <w:rPr>
          <w:i/>
          <w:sz w:val="20"/>
          <w:lang w:val="en-US" w:eastAsia="ko-KR"/>
        </w:rPr>
        <w:t xml:space="preserve">Study the feasibility of over-the-air (OTA) synchronization and the impact of timing misalignment on IAB performance (e.g. the number of supportable hops). </w:t>
      </w:r>
    </w:p>
    <w:p w14:paraId="57A7F0E0" w14:textId="635BF093" w:rsidR="00B926CB" w:rsidRPr="00B926CB" w:rsidRDefault="00B926CB" w:rsidP="00B926CB">
      <w:pPr>
        <w:pStyle w:val="ListParagraph"/>
        <w:numPr>
          <w:ilvl w:val="0"/>
          <w:numId w:val="40"/>
        </w:numPr>
        <w:overflowPunct w:val="0"/>
        <w:autoSpaceDE w:val="0"/>
        <w:autoSpaceDN w:val="0"/>
        <w:adjustRightInd w:val="0"/>
        <w:spacing w:after="180"/>
        <w:rPr>
          <w:rFonts w:eastAsia="Arial"/>
          <w:i/>
          <w:sz w:val="20"/>
          <w:lang w:val="en-US" w:eastAsia="ja-JP"/>
        </w:rPr>
      </w:pPr>
      <w:r w:rsidRPr="00B926CB">
        <w:rPr>
          <w:i/>
          <w:sz w:val="20"/>
          <w:lang w:val="en-US" w:eastAsia="ko-KR"/>
        </w:rPr>
        <w:t>Mechanisms for timing alignment across multi-hop NR-IAB networks should be studied.</w:t>
      </w:r>
    </w:p>
    <w:p w14:paraId="1D020A16" w14:textId="580A5E0F" w:rsidR="00B926CB" w:rsidRDefault="00B926CB" w:rsidP="00CB3C8E">
      <w:pPr>
        <w:spacing w:after="120"/>
      </w:pPr>
      <w:r>
        <w:t>RAN1 also agreed following as the basis for the IAB operation which are also related to synchronization of the IAB nodes:</w:t>
      </w:r>
    </w:p>
    <w:p w14:paraId="23D4FC8D" w14:textId="77777777" w:rsidR="00B926CB" w:rsidRPr="00B926CB" w:rsidRDefault="00B926CB" w:rsidP="00B926CB">
      <w:pPr>
        <w:pStyle w:val="ListParagraph"/>
        <w:numPr>
          <w:ilvl w:val="0"/>
          <w:numId w:val="40"/>
        </w:numPr>
        <w:rPr>
          <w:i/>
          <w:sz w:val="20"/>
          <w:lang w:val="en-GB" w:eastAsia="ko-KR"/>
        </w:rPr>
      </w:pPr>
      <w:r w:rsidRPr="00B926CB">
        <w:rPr>
          <w:i/>
          <w:sz w:val="20"/>
          <w:lang w:val="en-GB" w:eastAsia="ko-KR"/>
        </w:rPr>
        <w:t>The Release 15 NR physical layer should be the starting point for the physical layer of the IAB backhaul link.</w:t>
      </w:r>
    </w:p>
    <w:p w14:paraId="3B318753" w14:textId="4E2F0DAB" w:rsidR="00A7354E" w:rsidRPr="00A7354E" w:rsidRDefault="00A7354E" w:rsidP="007E69FB">
      <w:pPr>
        <w:pStyle w:val="ListParagraph"/>
        <w:numPr>
          <w:ilvl w:val="0"/>
          <w:numId w:val="40"/>
        </w:numPr>
        <w:spacing w:after="120"/>
        <w:ind w:left="714" w:hanging="357"/>
        <w:rPr>
          <w:i/>
          <w:sz w:val="20"/>
          <w:lang w:val="en-GB" w:eastAsia="ko-KR"/>
        </w:rPr>
      </w:pPr>
      <w:r w:rsidRPr="00A7354E">
        <w:rPr>
          <w:i/>
          <w:sz w:val="20"/>
          <w:lang w:val="en-GB" w:eastAsia="ko-KR"/>
        </w:rPr>
        <w:t>An IAB-node can follow the same initial access procedure as an access UE, including cell search, SI acquisition, and random access, in order to connect to an IAB node/donor and initially integrate to the network.</w:t>
      </w:r>
    </w:p>
    <w:p w14:paraId="60EBC3EE" w14:textId="298757A0" w:rsidR="00A7354E" w:rsidRDefault="007E69FB" w:rsidP="00CB3C8E">
      <w:pPr>
        <w:spacing w:after="120"/>
      </w:pPr>
      <w:r>
        <w:t>RAN1#92bis conclusions were aligned with the overall approach to utilize Rel.15 NR capabilities as much as possible before defining any new IAB specific features. For the synchronization of IAB nodes this means to study first the basic access and synchronization procedures specified for the access UEs to be applied for the UE (or MT) part of the IAB node.</w:t>
      </w:r>
    </w:p>
    <w:p w14:paraId="33A20E81" w14:textId="33B77FD9" w:rsidR="004C396E" w:rsidRDefault="007E69FB" w:rsidP="00CB3C8E">
      <w:pPr>
        <w:spacing w:after="120"/>
      </w:pPr>
      <w:r>
        <w:t xml:space="preserve">In </w:t>
      </w:r>
      <w:r w:rsidR="000737C9">
        <w:fldChar w:fldCharType="begin"/>
      </w:r>
      <w:r w:rsidR="000737C9">
        <w:instrText xml:space="preserve"> REF _Ref513026318 \r \h </w:instrText>
      </w:r>
      <w:r w:rsidR="000737C9">
        <w:fldChar w:fldCharType="separate"/>
      </w:r>
      <w:r w:rsidR="000737C9">
        <w:t>[2]</w:t>
      </w:r>
      <w:r w:rsidR="000737C9">
        <w:fldChar w:fldCharType="end"/>
      </w:r>
      <w:r w:rsidR="000737C9">
        <w:t xml:space="preserve"> we elaborated potential options for the synchronization of IAB nodes concluding that IAB timing reference can be based on the TA (timing advance) commands from the serving cell. </w:t>
      </w:r>
      <w:r w:rsidR="005601F5">
        <w:t>The assumption</w:t>
      </w:r>
      <w:r w:rsidR="00486FF4">
        <w:t xml:space="preserve"> was that the timing on the access link would be aligned with the donor cell timing to maintain synchronized DL </w:t>
      </w:r>
      <w:r w:rsidR="005601F5">
        <w:t xml:space="preserve">in all cells. There was also an analysis for other timing options </w:t>
      </w:r>
      <w:r w:rsidR="005601F5">
        <w:fldChar w:fldCharType="begin"/>
      </w:r>
      <w:r w:rsidR="005601F5">
        <w:instrText xml:space="preserve"> REF _Ref513033675 \r \h </w:instrText>
      </w:r>
      <w:r w:rsidR="005601F5">
        <w:fldChar w:fldCharType="separate"/>
      </w:r>
      <w:r w:rsidR="005601F5">
        <w:t>[3]</w:t>
      </w:r>
      <w:r w:rsidR="005601F5">
        <w:fldChar w:fldCharType="end"/>
      </w:r>
      <w:r w:rsidR="005601F5">
        <w:t xml:space="preserve"> </w:t>
      </w:r>
      <w:r w:rsidR="004C396E">
        <w:t xml:space="preserve">how IAB node timing could be adjusted w.r.t. RX timing on the BH link to donor </w:t>
      </w:r>
      <w:r w:rsidR="005601F5">
        <w:t xml:space="preserve">and </w:t>
      </w:r>
      <w:r w:rsidR="004C396E">
        <w:t xml:space="preserve">what would be the </w:t>
      </w:r>
      <w:r w:rsidR="005601F5">
        <w:t>resulted requirements for guard periods</w:t>
      </w:r>
      <w:r w:rsidR="004C396E">
        <w:t>.</w:t>
      </w:r>
    </w:p>
    <w:p w14:paraId="7F2D6B2D" w14:textId="7D9A7F33" w:rsidR="00CB3C8E" w:rsidRDefault="004C396E" w:rsidP="00EE1F1A">
      <w:r>
        <w:t xml:space="preserve">In this paper we elaborate further the options for IAB synchronization and analyse </w:t>
      </w:r>
      <w:r w:rsidR="00D02C1D">
        <w:t>whether the timing accuracies</w:t>
      </w:r>
      <w:r>
        <w:t xml:space="preserve"> would meet the requirements in a</w:t>
      </w:r>
      <w:r w:rsidR="00D02C1D">
        <w:t>n</w:t>
      </w:r>
      <w:r>
        <w:t xml:space="preserve"> IAB deployment scenario.</w:t>
      </w:r>
    </w:p>
    <w:p w14:paraId="2EDADF91" w14:textId="77777777" w:rsidR="004C396E" w:rsidRPr="00CB3C8E" w:rsidRDefault="004C396E" w:rsidP="00EE1F1A"/>
    <w:p w14:paraId="10FD11CC" w14:textId="0A0E6622" w:rsidR="00062630" w:rsidRDefault="00062630" w:rsidP="00062630">
      <w:pPr>
        <w:pStyle w:val="Heading1"/>
      </w:pPr>
      <w:r>
        <w:rPr>
          <w:color w:val="000000"/>
        </w:rPr>
        <w:t>2</w:t>
      </w:r>
      <w:r w:rsidRPr="00A51522">
        <w:rPr>
          <w:color w:val="000000"/>
        </w:rPr>
        <w:tab/>
      </w:r>
      <w:r w:rsidR="005E7117">
        <w:t>Discussion</w:t>
      </w:r>
    </w:p>
    <w:p w14:paraId="07ADDE60" w14:textId="63DD6729" w:rsidR="00DB5136" w:rsidRDefault="00DB5136" w:rsidP="00CF10F2">
      <w:pPr>
        <w:spacing w:after="120"/>
        <w:rPr>
          <w:rFonts w:eastAsia="MS Mincho"/>
          <w:lang w:eastAsia="ja-JP"/>
        </w:rPr>
      </w:pPr>
      <w:r>
        <w:rPr>
          <w:rFonts w:eastAsia="MS Mincho"/>
          <w:lang w:eastAsia="ja-JP"/>
        </w:rPr>
        <w:t xml:space="preserve">When utilizing existing NR procedures, the OTA synchronization consists of UE synchronization to DL signals (SSBs) while detecting cells for camping, and, once a suitable cell is found/selected, UE initiates access procedure by sending appropriate PRACH from which the gNB </w:t>
      </w:r>
      <w:r w:rsidR="00E60ED3">
        <w:rPr>
          <w:rFonts w:eastAsia="MS Mincho"/>
          <w:lang w:eastAsia="ja-JP"/>
        </w:rPr>
        <w:t xml:space="preserve">determines </w:t>
      </w:r>
      <w:r>
        <w:rPr>
          <w:rFonts w:eastAsia="MS Mincho"/>
          <w:lang w:eastAsia="ja-JP"/>
        </w:rPr>
        <w:t>the timing advance (TA) adjustment to be used in the subsequent UL transmissions. The TA adjustment is sent in msg.2/RAR. With the same procedure, the UE part of the IAB node can synchronize its DL/UL timing towards the serving cell/node. To our understanding this shall be the taken as the starting point for the IAB synchronization.</w:t>
      </w:r>
    </w:p>
    <w:p w14:paraId="59D456E1" w14:textId="72F13B64" w:rsidR="00B52C39" w:rsidRDefault="00A15EB2" w:rsidP="00CF10F2">
      <w:pPr>
        <w:spacing w:after="120"/>
      </w:pPr>
      <w:r>
        <w:t xml:space="preserve">As proposed in </w:t>
      </w:r>
      <w:r>
        <w:fldChar w:fldCharType="begin"/>
      </w:r>
      <w:r>
        <w:instrText xml:space="preserve"> REF _Ref513026318 \r \h </w:instrText>
      </w:r>
      <w:r>
        <w:fldChar w:fldCharType="separate"/>
      </w:r>
      <w:r>
        <w:t>[2]</w:t>
      </w:r>
      <w:r>
        <w:fldChar w:fldCharType="end"/>
      </w:r>
      <w:r>
        <w:t xml:space="preserve"> and aligned with the RAN1 view, the access and synchronization p</w:t>
      </w:r>
      <w:r w:rsidR="00716005">
        <w:t>rinciples defined for access UE</w:t>
      </w:r>
      <w:r>
        <w:t>s shall be the baseline for the study IAB synchronization.</w:t>
      </w:r>
      <w:r w:rsidR="00CF10F2">
        <w:t xml:space="preserve"> The basic approach is to utilize the DL RX timing on the BH link as the reference combined with normal TA (Timing Advance) control from the serving node. How well such approach can meet the requirements for the timing accuracy is discussed in section 2.2.</w:t>
      </w:r>
    </w:p>
    <w:p w14:paraId="31E51929" w14:textId="37181757" w:rsidR="00B52C39" w:rsidRDefault="00CF10F2" w:rsidP="00CF10F2">
      <w:pPr>
        <w:spacing w:after="120"/>
        <w:rPr>
          <w:lang w:val="en-US"/>
        </w:rPr>
      </w:pPr>
      <w:r>
        <w:t xml:space="preserve">The </w:t>
      </w:r>
      <w:r>
        <w:rPr>
          <w:lang w:val="en-US"/>
        </w:rPr>
        <w:t xml:space="preserve">TA based timing </w:t>
      </w:r>
      <w:r w:rsidR="0092658D">
        <w:rPr>
          <w:lang w:val="en-US"/>
        </w:rPr>
        <w:t>adjustment</w:t>
      </w:r>
      <w:r>
        <w:rPr>
          <w:lang w:val="en-US"/>
        </w:rPr>
        <w:t xml:space="preserve"> has the benefit that i</w:t>
      </w:r>
      <w:r w:rsidR="0092658D">
        <w:rPr>
          <w:lang w:val="en-US"/>
        </w:rPr>
        <w:t xml:space="preserve">t does not require </w:t>
      </w:r>
      <w:r>
        <w:rPr>
          <w:lang w:val="en-US"/>
        </w:rPr>
        <w:t xml:space="preserve">specification work for IAB but can use existing </w:t>
      </w:r>
      <w:r w:rsidR="00B52C39">
        <w:rPr>
          <w:lang w:val="en-US"/>
        </w:rPr>
        <w:t>control signaling.</w:t>
      </w:r>
    </w:p>
    <w:p w14:paraId="60FCA9CB" w14:textId="276BC47B" w:rsidR="00DB5136" w:rsidRDefault="00B52C39" w:rsidP="00CF10F2">
      <w:pPr>
        <w:spacing w:after="120"/>
        <w:rPr>
          <w:b/>
          <w:lang w:val="en-US"/>
        </w:rPr>
      </w:pPr>
      <w:bookmarkStart w:id="1" w:name="_Hlk513452193"/>
      <w:r w:rsidRPr="00B52C39">
        <w:rPr>
          <w:b/>
          <w:lang w:val="en-US"/>
        </w:rPr>
        <w:t xml:space="preserve">Observation 1: </w:t>
      </w:r>
      <w:r w:rsidR="00DB5136">
        <w:rPr>
          <w:b/>
          <w:lang w:val="en-US"/>
        </w:rPr>
        <w:t xml:space="preserve">NR cell selection and initial access procedures with </w:t>
      </w:r>
      <w:r w:rsidRPr="00B52C39">
        <w:rPr>
          <w:b/>
          <w:lang w:val="en-US"/>
        </w:rPr>
        <w:t xml:space="preserve">TA based IAB timing </w:t>
      </w:r>
      <w:r w:rsidR="00DB5136">
        <w:rPr>
          <w:b/>
          <w:lang w:val="en-US"/>
        </w:rPr>
        <w:t>adjustment can be used as the baseline for IAB synchronization.</w:t>
      </w:r>
    </w:p>
    <w:bookmarkEnd w:id="1"/>
    <w:p w14:paraId="5D29327C" w14:textId="270E7389" w:rsidR="0092658D" w:rsidRDefault="00B52C39" w:rsidP="006C2A59">
      <w:pPr>
        <w:spacing w:after="120"/>
        <w:rPr>
          <w:lang w:val="en-US"/>
        </w:rPr>
      </w:pPr>
      <w:r>
        <w:rPr>
          <w:lang w:val="en-US"/>
        </w:rPr>
        <w:t xml:space="preserve">IAB </w:t>
      </w:r>
      <w:r w:rsidR="00DB5136">
        <w:rPr>
          <w:lang w:val="en-US"/>
        </w:rPr>
        <w:t xml:space="preserve">specific </w:t>
      </w:r>
      <w:r>
        <w:rPr>
          <w:lang w:val="en-US"/>
        </w:rPr>
        <w:t>timing</w:t>
      </w:r>
      <w:r w:rsidR="00D02C1D">
        <w:rPr>
          <w:lang w:val="en-US"/>
        </w:rPr>
        <w:t>,</w:t>
      </w:r>
      <w:r>
        <w:rPr>
          <w:lang w:val="en-US"/>
        </w:rPr>
        <w:t xml:space="preserve"> </w:t>
      </w:r>
      <w:r w:rsidR="00DB5136">
        <w:rPr>
          <w:lang w:val="en-US"/>
        </w:rPr>
        <w:t>base</w:t>
      </w:r>
      <w:r w:rsidR="00D02C1D">
        <w:rPr>
          <w:lang w:val="en-US"/>
        </w:rPr>
        <w:t>d</w:t>
      </w:r>
      <w:r w:rsidR="00DB5136">
        <w:rPr>
          <w:lang w:val="en-US"/>
        </w:rPr>
        <w:t xml:space="preserve"> on usage of existing procedures</w:t>
      </w:r>
      <w:r w:rsidR="00D02C1D">
        <w:rPr>
          <w:lang w:val="en-US"/>
        </w:rPr>
        <w:t>,</w:t>
      </w:r>
      <w:r w:rsidR="00DB5136">
        <w:rPr>
          <w:lang w:val="en-US"/>
        </w:rPr>
        <w:t xml:space="preserve"> are discussed in detail in the section below.</w:t>
      </w:r>
    </w:p>
    <w:p w14:paraId="6283B646" w14:textId="77777777" w:rsidR="00B52C39" w:rsidRDefault="00B52C39" w:rsidP="006C2A59">
      <w:pPr>
        <w:spacing w:after="120"/>
        <w:rPr>
          <w:lang w:val="en-US"/>
        </w:rPr>
      </w:pPr>
    </w:p>
    <w:p w14:paraId="7E5820D0" w14:textId="20B99EA7" w:rsidR="0092658D" w:rsidRDefault="00FD254A" w:rsidP="00B8593C">
      <w:pPr>
        <w:pStyle w:val="Heading2"/>
        <w:rPr>
          <w:lang w:val="en-US"/>
        </w:rPr>
      </w:pPr>
      <w:r>
        <w:rPr>
          <w:lang w:val="en-US"/>
        </w:rPr>
        <w:t>2.1</w:t>
      </w:r>
      <w:r>
        <w:rPr>
          <w:lang w:val="en-US"/>
        </w:rPr>
        <w:tab/>
        <w:t>IAB TX and RX timing</w:t>
      </w:r>
      <w:r w:rsidR="00B52C39">
        <w:rPr>
          <w:lang w:val="en-US"/>
        </w:rPr>
        <w:t xml:space="preserve"> based on TA</w:t>
      </w:r>
    </w:p>
    <w:p w14:paraId="4D9F5219" w14:textId="71B6F523" w:rsidR="00FD254A" w:rsidRDefault="00FD254A" w:rsidP="00FD254A">
      <w:pPr>
        <w:rPr>
          <w:lang w:val="en-US"/>
        </w:rPr>
      </w:pPr>
      <w:r>
        <w:rPr>
          <w:lang w:val="en-US"/>
        </w:rPr>
        <w:t>The IAB node has UE (or MT</w:t>
      </w:r>
      <w:r w:rsidR="0035536A">
        <w:rPr>
          <w:lang w:val="en-US"/>
        </w:rPr>
        <w:t>, Mobile Termination</w:t>
      </w:r>
      <w:r>
        <w:rPr>
          <w:lang w:val="en-US"/>
        </w:rPr>
        <w:t>) functionality</w:t>
      </w:r>
      <w:r w:rsidR="00E827D2">
        <w:rPr>
          <w:lang w:val="en-US"/>
        </w:rPr>
        <w:t xml:space="preserve"> for</w:t>
      </w:r>
      <w:r>
        <w:rPr>
          <w:lang w:val="en-US"/>
        </w:rPr>
        <w:t xml:space="preserve"> communicating towards the network (donor node) or the upstream serving IAB node.</w:t>
      </w:r>
      <w:r w:rsidR="00D80449">
        <w:rPr>
          <w:lang w:val="en-US"/>
        </w:rPr>
        <w:t xml:space="preserve"> The IAB UE can operate similarly to access UEs regarding connection setup/release, support for RRM </w:t>
      </w:r>
      <w:r w:rsidR="00233500">
        <w:rPr>
          <w:lang w:val="en-US"/>
        </w:rPr>
        <w:t>with</w:t>
      </w:r>
      <w:r w:rsidR="00D80449">
        <w:rPr>
          <w:lang w:val="en-US"/>
        </w:rPr>
        <w:t xml:space="preserve"> measurement reporting, etc. The same can apply also with the timing i.e. the IAB UE</w:t>
      </w:r>
      <w:r w:rsidR="00233500">
        <w:rPr>
          <w:lang w:val="en-US"/>
        </w:rPr>
        <w:t>’s</w:t>
      </w:r>
      <w:r w:rsidR="00D80449">
        <w:rPr>
          <w:lang w:val="en-US"/>
        </w:rPr>
        <w:t xml:space="preserve"> </w:t>
      </w:r>
      <w:r w:rsidR="00233500">
        <w:rPr>
          <w:lang w:val="en-US"/>
        </w:rPr>
        <w:t xml:space="preserve">timing </w:t>
      </w:r>
      <w:r w:rsidR="001D689E">
        <w:rPr>
          <w:lang w:val="en-US"/>
        </w:rPr>
        <w:t xml:space="preserve">(IAB node’s upstream BH timing) </w:t>
      </w:r>
      <w:r w:rsidR="00D80449">
        <w:rPr>
          <w:lang w:val="en-US"/>
        </w:rPr>
        <w:t xml:space="preserve">can be based on DL </w:t>
      </w:r>
      <w:r w:rsidR="0035536A">
        <w:rPr>
          <w:lang w:val="en-US"/>
        </w:rPr>
        <w:t xml:space="preserve">(or downstream BH) </w:t>
      </w:r>
      <w:r w:rsidR="00D80449">
        <w:rPr>
          <w:lang w:val="en-US"/>
        </w:rPr>
        <w:t xml:space="preserve">signal </w:t>
      </w:r>
      <w:r w:rsidR="0035536A">
        <w:rPr>
          <w:lang w:val="en-US"/>
        </w:rPr>
        <w:t xml:space="preserve">RX </w:t>
      </w:r>
      <w:r w:rsidR="00D80449">
        <w:rPr>
          <w:lang w:val="en-US"/>
        </w:rPr>
        <w:t>timing and TA adjustment.</w:t>
      </w:r>
    </w:p>
    <w:p w14:paraId="3447E22F" w14:textId="7D865634" w:rsidR="00D80449" w:rsidRDefault="00D80449" w:rsidP="00FD254A">
      <w:pPr>
        <w:rPr>
          <w:lang w:val="en-US"/>
        </w:rPr>
      </w:pPr>
      <w:r>
        <w:rPr>
          <w:lang w:val="en-US"/>
        </w:rPr>
        <w:t xml:space="preserve">Figure </w:t>
      </w:r>
      <w:r w:rsidR="00F37F25">
        <w:rPr>
          <w:lang w:val="en-US"/>
        </w:rPr>
        <w:t xml:space="preserve">1 illustrates timing </w:t>
      </w:r>
      <w:r w:rsidR="0035536A">
        <w:rPr>
          <w:lang w:val="en-US"/>
        </w:rPr>
        <w:t xml:space="preserve">of a </w:t>
      </w:r>
      <w:r w:rsidR="00F37F25">
        <w:rPr>
          <w:lang w:val="en-US"/>
        </w:rPr>
        <w:t>simple two-hop IAB deployment</w:t>
      </w:r>
      <w:r w:rsidR="002B3B5A">
        <w:rPr>
          <w:lang w:val="en-US"/>
        </w:rPr>
        <w:t xml:space="preserve"> scenario</w:t>
      </w:r>
      <w:r w:rsidR="00F37F25">
        <w:rPr>
          <w:lang w:val="en-US"/>
        </w:rPr>
        <w:t xml:space="preserve">. </w:t>
      </w:r>
      <w:r w:rsidR="00B52C39">
        <w:rPr>
          <w:lang w:val="en-US"/>
        </w:rPr>
        <w:t xml:space="preserve">In the example below, the access link (DL) timing is aligned between </w:t>
      </w:r>
      <w:r w:rsidR="00FD67B9">
        <w:rPr>
          <w:lang w:val="en-US"/>
        </w:rPr>
        <w:t xml:space="preserve">the </w:t>
      </w:r>
      <w:r w:rsidR="00B52C39">
        <w:rPr>
          <w:lang w:val="en-US"/>
        </w:rPr>
        <w:t>cells served by the donor and the IAB node</w:t>
      </w:r>
      <w:r w:rsidR="00FD67B9">
        <w:rPr>
          <w:lang w:val="en-US"/>
        </w:rPr>
        <w:t>s</w:t>
      </w:r>
      <w:r w:rsidR="00B52C39">
        <w:rPr>
          <w:lang w:val="en-US"/>
        </w:rPr>
        <w:t xml:space="preserve">. </w:t>
      </w:r>
      <w:r w:rsidR="00F37F25">
        <w:rPr>
          <w:lang w:val="en-US"/>
        </w:rPr>
        <w:t xml:space="preserve">Solid vertical lines indicate the reference slot timing at the donor node </w:t>
      </w:r>
      <w:r w:rsidR="00FD67B9">
        <w:rPr>
          <w:lang w:val="en-US"/>
        </w:rPr>
        <w:t xml:space="preserve">(with fixed BH connection) </w:t>
      </w:r>
      <w:r w:rsidR="00F37F25">
        <w:rPr>
          <w:lang w:val="en-US"/>
        </w:rPr>
        <w:t>that is used as the time reference by the subtending IAB nodes. T</w:t>
      </w:r>
      <w:r w:rsidR="00F37F25" w:rsidRPr="003B05D9">
        <w:rPr>
          <w:vertAlign w:val="subscript"/>
          <w:lang w:val="en-US"/>
        </w:rPr>
        <w:t>P1</w:t>
      </w:r>
      <w:r w:rsidR="00F37F25">
        <w:rPr>
          <w:lang w:val="en-US"/>
        </w:rPr>
        <w:t xml:space="preserve"> and T</w:t>
      </w:r>
      <w:r w:rsidR="00F37F25" w:rsidRPr="003B05D9">
        <w:rPr>
          <w:vertAlign w:val="subscript"/>
          <w:lang w:val="en-US"/>
        </w:rPr>
        <w:t>P2</w:t>
      </w:r>
      <w:r w:rsidR="00F37F25">
        <w:rPr>
          <w:lang w:val="en-US"/>
        </w:rPr>
        <w:t xml:space="preserve"> are </w:t>
      </w:r>
      <w:r w:rsidR="003B05D9">
        <w:rPr>
          <w:lang w:val="en-US"/>
        </w:rPr>
        <w:t xml:space="preserve">one-way propagation delays over the backhaul links BH1 and BH2, respectively. </w:t>
      </w:r>
      <w:r w:rsidR="002B3B5A">
        <w:rPr>
          <w:lang w:val="en-US"/>
        </w:rPr>
        <w:t xml:space="preserve">In the shown </w:t>
      </w:r>
      <w:r w:rsidR="00B52C39">
        <w:rPr>
          <w:lang w:val="en-US"/>
        </w:rPr>
        <w:t>case</w:t>
      </w:r>
      <w:r w:rsidR="00FD67B9">
        <w:rPr>
          <w:lang w:val="en-US"/>
        </w:rPr>
        <w:t>,</w:t>
      </w:r>
      <w:r w:rsidR="00B52C39">
        <w:rPr>
          <w:lang w:val="en-US"/>
        </w:rPr>
        <w:t xml:space="preserve"> the </w:t>
      </w:r>
      <w:r w:rsidR="002B3B5A">
        <w:rPr>
          <w:lang w:val="en-US"/>
        </w:rPr>
        <w:t xml:space="preserve">propagation delays are different on BH1 and BH2. </w:t>
      </w:r>
      <w:r w:rsidR="003B05D9">
        <w:rPr>
          <w:lang w:val="en-US"/>
        </w:rPr>
        <w:t xml:space="preserve">TA1 and TA2 are the timing advance </w:t>
      </w:r>
      <w:r w:rsidR="00FD67B9">
        <w:rPr>
          <w:lang w:val="en-US"/>
        </w:rPr>
        <w:t xml:space="preserve">values </w:t>
      </w:r>
      <w:r w:rsidR="003B05D9">
        <w:rPr>
          <w:lang w:val="en-US"/>
        </w:rPr>
        <w:t>used for the UL (upstream backhaul connection) slots on BH1 and BH2, respectively.</w:t>
      </w:r>
    </w:p>
    <w:p w14:paraId="1A86663E" w14:textId="7F8D91DC" w:rsidR="00F37F25" w:rsidRDefault="0042416C" w:rsidP="002B3B5A">
      <w:pPr>
        <w:spacing w:after="0"/>
        <w:rPr>
          <w:lang w:val="en-US"/>
        </w:rPr>
      </w:pPr>
      <w:r>
        <w:rPr>
          <w:noProof/>
          <w:lang w:val="en-US"/>
        </w:rPr>
        <w:drawing>
          <wp:inline distT="0" distB="0" distL="0" distR="0" wp14:anchorId="2517FEFA" wp14:editId="44AA7B60">
            <wp:extent cx="6373664" cy="273588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1404" cy="2747792"/>
                    </a:xfrm>
                    <a:prstGeom prst="rect">
                      <a:avLst/>
                    </a:prstGeom>
                    <a:noFill/>
                  </pic:spPr>
                </pic:pic>
              </a:graphicData>
            </a:graphic>
          </wp:inline>
        </w:drawing>
      </w:r>
    </w:p>
    <w:p w14:paraId="5440C0DB" w14:textId="5F246739" w:rsidR="00F37F25" w:rsidRDefault="00F37F25" w:rsidP="00F37F25">
      <w:pPr>
        <w:jc w:val="center"/>
        <w:rPr>
          <w:lang w:val="en-US"/>
        </w:rPr>
      </w:pPr>
      <w:r>
        <w:rPr>
          <w:lang w:val="en-US"/>
        </w:rPr>
        <w:t>Figure 1. RX/TX timing in two-hop IAB scenario</w:t>
      </w:r>
    </w:p>
    <w:p w14:paraId="1298EA99" w14:textId="27C23F99" w:rsidR="00F37F25" w:rsidRDefault="002B3B5A" w:rsidP="00FD254A">
      <w:pPr>
        <w:rPr>
          <w:lang w:val="en-US"/>
        </w:rPr>
      </w:pPr>
      <w:r>
        <w:rPr>
          <w:lang w:val="en-US"/>
        </w:rPr>
        <w:t>Yellow slots</w:t>
      </w:r>
      <w:r w:rsidR="00A55350">
        <w:rPr>
          <w:lang w:val="en-US"/>
        </w:rPr>
        <w:t xml:space="preserve"> in Figure 1</w:t>
      </w:r>
      <w:r>
        <w:rPr>
          <w:lang w:val="en-US"/>
        </w:rPr>
        <w:t xml:space="preserve"> refer to DL or downstream BH slots whereas green ones are UL/upstream slots. Starting from the top, the donor transmits a slot to IAB node</w:t>
      </w:r>
      <w:r w:rsidR="007F43C1">
        <w:rPr>
          <w:lang w:val="en-US"/>
        </w:rPr>
        <w:t xml:space="preserve"> 1 starting at the reference timing of its own time base. The slot is received by the IAB1 after the propagation delay T</w:t>
      </w:r>
      <w:r w:rsidR="007F43C1" w:rsidRPr="003B05D9">
        <w:rPr>
          <w:vertAlign w:val="subscript"/>
          <w:lang w:val="en-US"/>
        </w:rPr>
        <w:t>P1</w:t>
      </w:r>
      <w:r w:rsidR="007F43C1">
        <w:rPr>
          <w:lang w:val="en-US"/>
        </w:rPr>
        <w:t>. The IAB DL reception time is indicated as dashed vertical line with T</w:t>
      </w:r>
      <w:r w:rsidR="007F43C1" w:rsidRPr="003B05D9">
        <w:rPr>
          <w:vertAlign w:val="subscript"/>
          <w:lang w:val="en-US"/>
        </w:rPr>
        <w:t>P1</w:t>
      </w:r>
      <w:r w:rsidR="007F43C1">
        <w:rPr>
          <w:lang w:val="en-US"/>
        </w:rPr>
        <w:t xml:space="preserve"> offset from the reference time at the donor. The UL slot transmission of the IAB1 shall be advanced by TA1 to be on time, i.e. at the reference time, at the donor reception. This is the normal operation of any UE and therefore the BH UL and access UE UL </w:t>
      </w:r>
      <w:r w:rsidR="00AA4759">
        <w:rPr>
          <w:lang w:val="en-US"/>
        </w:rPr>
        <w:t xml:space="preserve">receptions are time aligned and </w:t>
      </w:r>
      <w:r w:rsidR="007F43C1">
        <w:rPr>
          <w:lang w:val="en-US"/>
        </w:rPr>
        <w:t>can happen in the same time slot assuming frequency division of used resources.</w:t>
      </w:r>
    </w:p>
    <w:p w14:paraId="1AD1E2FF" w14:textId="30324891" w:rsidR="007F43C1" w:rsidRDefault="007F43C1" w:rsidP="00FD254A">
      <w:pPr>
        <w:rPr>
          <w:lang w:val="en-US"/>
        </w:rPr>
      </w:pPr>
      <w:bookmarkStart w:id="2" w:name="_Hlk513540551"/>
      <w:r>
        <w:rPr>
          <w:lang w:val="en-US"/>
        </w:rPr>
        <w:t>If the IAB</w:t>
      </w:r>
      <w:r w:rsidR="00E827D2">
        <w:rPr>
          <w:lang w:val="en-US"/>
        </w:rPr>
        <w:t xml:space="preserve"> node </w:t>
      </w:r>
      <w:r>
        <w:rPr>
          <w:lang w:val="en-US"/>
        </w:rPr>
        <w:t>1 is scheduled for UL TX in a slot following DL reception, the schedul</w:t>
      </w:r>
      <w:r w:rsidR="00B171F5">
        <w:rPr>
          <w:lang w:val="en-US"/>
        </w:rPr>
        <w:t>er</w:t>
      </w:r>
      <w:r>
        <w:rPr>
          <w:lang w:val="en-US"/>
        </w:rPr>
        <w:t xml:space="preserve"> </w:t>
      </w:r>
      <w:r w:rsidR="00B171F5">
        <w:rPr>
          <w:lang w:val="en-US"/>
        </w:rPr>
        <w:t xml:space="preserve">at the Donor </w:t>
      </w:r>
      <w:r>
        <w:rPr>
          <w:lang w:val="en-US"/>
        </w:rPr>
        <w:t xml:space="preserve">should </w:t>
      </w:r>
      <w:r w:rsidR="006650D3">
        <w:rPr>
          <w:lang w:val="en-US"/>
        </w:rPr>
        <w:t xml:space="preserve">consider </w:t>
      </w:r>
      <w:r>
        <w:rPr>
          <w:lang w:val="en-US"/>
        </w:rPr>
        <w:t xml:space="preserve">the </w:t>
      </w:r>
      <w:r w:rsidR="00DE5E79">
        <w:rPr>
          <w:lang w:val="en-US"/>
        </w:rPr>
        <w:t xml:space="preserve">TA and </w:t>
      </w:r>
      <w:r w:rsidR="00B171F5">
        <w:rPr>
          <w:lang w:val="en-US"/>
        </w:rPr>
        <w:t xml:space="preserve">required </w:t>
      </w:r>
      <w:r w:rsidR="00DE5E79">
        <w:rPr>
          <w:lang w:val="en-US"/>
        </w:rPr>
        <w:t xml:space="preserve">GP </w:t>
      </w:r>
      <w:r w:rsidR="00B171F5">
        <w:rPr>
          <w:lang w:val="en-US"/>
        </w:rPr>
        <w:t xml:space="preserve">for RX/TX switching </w:t>
      </w:r>
      <w:r w:rsidR="00DE5E79">
        <w:rPr>
          <w:lang w:val="en-US"/>
        </w:rPr>
        <w:t xml:space="preserve">to avoid any overlap between DL </w:t>
      </w:r>
      <w:r w:rsidR="00B171F5">
        <w:rPr>
          <w:lang w:val="en-US"/>
        </w:rPr>
        <w:t xml:space="preserve">RX </w:t>
      </w:r>
      <w:r w:rsidR="00DE5E79">
        <w:rPr>
          <w:lang w:val="en-US"/>
        </w:rPr>
        <w:t xml:space="preserve">and UL </w:t>
      </w:r>
      <w:r w:rsidR="00B171F5">
        <w:rPr>
          <w:lang w:val="en-US"/>
        </w:rPr>
        <w:t>TX</w:t>
      </w:r>
      <w:r w:rsidR="00DE5E79">
        <w:rPr>
          <w:lang w:val="en-US"/>
        </w:rPr>
        <w:t xml:space="preserve"> at the IAB node.</w:t>
      </w:r>
    </w:p>
    <w:bookmarkEnd w:id="2"/>
    <w:p w14:paraId="46648EEA" w14:textId="4141C0A9" w:rsidR="00DE5E79" w:rsidRDefault="00DE5E79" w:rsidP="00FD254A">
      <w:pPr>
        <w:rPr>
          <w:lang w:val="en-US"/>
        </w:rPr>
      </w:pPr>
      <w:r>
        <w:rPr>
          <w:lang w:val="en-US"/>
        </w:rPr>
        <w:t>On the next hop over BH2 link, IAB</w:t>
      </w:r>
      <w:r w:rsidR="00396EAE">
        <w:rPr>
          <w:lang w:val="en-US"/>
        </w:rPr>
        <w:t xml:space="preserve"> node </w:t>
      </w:r>
      <w:r>
        <w:rPr>
          <w:lang w:val="en-US"/>
        </w:rPr>
        <w:t xml:space="preserve">1 acts as a gNB </w:t>
      </w:r>
      <w:r w:rsidR="00B171F5">
        <w:rPr>
          <w:lang w:val="en-US"/>
        </w:rPr>
        <w:t xml:space="preserve">(some of the gNB functions may reside in a centralized unit/donor, though) </w:t>
      </w:r>
      <w:r>
        <w:rPr>
          <w:lang w:val="en-US"/>
        </w:rPr>
        <w:t>towards the IAB</w:t>
      </w:r>
      <w:r w:rsidR="00396EAE">
        <w:rPr>
          <w:lang w:val="en-US"/>
        </w:rPr>
        <w:t xml:space="preserve"> node </w:t>
      </w:r>
      <w:r>
        <w:rPr>
          <w:lang w:val="en-US"/>
        </w:rPr>
        <w:t xml:space="preserve">2 and can be a serving node for its own cell. </w:t>
      </w:r>
      <w:r w:rsidR="00767269">
        <w:rPr>
          <w:lang w:val="en-US"/>
        </w:rPr>
        <w:t xml:space="preserve">Here we assume that the </w:t>
      </w:r>
      <w:r w:rsidR="00220E52">
        <w:rPr>
          <w:lang w:val="en-US"/>
        </w:rPr>
        <w:t xml:space="preserve">TX timing of the IAB1 cell DL and downstream </w:t>
      </w:r>
      <w:r w:rsidR="00767269">
        <w:rPr>
          <w:lang w:val="en-US"/>
        </w:rPr>
        <w:t xml:space="preserve">BH2 TX timing </w:t>
      </w:r>
      <w:r w:rsidR="00220E52">
        <w:rPr>
          <w:lang w:val="en-US"/>
        </w:rPr>
        <w:t xml:space="preserve">are synchronous. </w:t>
      </w:r>
      <w:r>
        <w:rPr>
          <w:lang w:val="en-US"/>
        </w:rPr>
        <w:t>To maintain synchronization of DL transmissions in all cells, IAB</w:t>
      </w:r>
      <w:r w:rsidR="00170205">
        <w:rPr>
          <w:lang w:val="en-US"/>
        </w:rPr>
        <w:t xml:space="preserve"> node</w:t>
      </w:r>
      <w:r w:rsidR="00396EAE">
        <w:rPr>
          <w:lang w:val="en-US"/>
        </w:rPr>
        <w:t>s</w:t>
      </w:r>
      <w:r>
        <w:rPr>
          <w:lang w:val="en-US"/>
        </w:rPr>
        <w:t xml:space="preserve"> </w:t>
      </w:r>
      <w:r w:rsidR="00220E52">
        <w:rPr>
          <w:lang w:val="en-US"/>
        </w:rPr>
        <w:t xml:space="preserve">should </w:t>
      </w:r>
      <w:r>
        <w:rPr>
          <w:lang w:val="en-US"/>
        </w:rPr>
        <w:t>align</w:t>
      </w:r>
      <w:r w:rsidR="00396EAE">
        <w:rPr>
          <w:lang w:val="en-US"/>
        </w:rPr>
        <w:t xml:space="preserve"> their</w:t>
      </w:r>
      <w:r>
        <w:rPr>
          <w:lang w:val="en-US"/>
        </w:rPr>
        <w:t xml:space="preserve"> DL/downstream TX with the donor timing. The</w:t>
      </w:r>
      <w:r w:rsidR="00170205">
        <w:rPr>
          <w:lang w:val="en-US"/>
        </w:rPr>
        <w:t xml:space="preserve"> alignment </w:t>
      </w:r>
      <w:r w:rsidR="00396EAE">
        <w:rPr>
          <w:lang w:val="en-US"/>
        </w:rPr>
        <w:t xml:space="preserve">between Donor and IAB Node 1 </w:t>
      </w:r>
      <w:r w:rsidR="00170205">
        <w:rPr>
          <w:lang w:val="en-US"/>
        </w:rPr>
        <w:t xml:space="preserve">is achieved </w:t>
      </w:r>
      <w:r w:rsidR="00220E52">
        <w:rPr>
          <w:lang w:val="en-US"/>
        </w:rPr>
        <w:t>by adjusting</w:t>
      </w:r>
      <w:r w:rsidR="00170205">
        <w:rPr>
          <w:lang w:val="en-US"/>
        </w:rPr>
        <w:t xml:space="preserve"> DL/downstream TX timing </w:t>
      </w:r>
      <w:r w:rsidR="00220E52">
        <w:rPr>
          <w:lang w:val="en-US"/>
        </w:rPr>
        <w:t xml:space="preserve">by </w:t>
      </w:r>
      <w:r w:rsidR="00396EAE">
        <w:rPr>
          <w:lang w:val="en-US"/>
        </w:rPr>
        <w:t>TA1/2</w:t>
      </w:r>
      <w:r w:rsidR="00220E52">
        <w:rPr>
          <w:lang w:val="en-US"/>
        </w:rPr>
        <w:t xml:space="preserve"> w.r.t. BH1 RX timing</w:t>
      </w:r>
      <w:r w:rsidR="00396EAE">
        <w:rPr>
          <w:lang w:val="en-US"/>
        </w:rPr>
        <w:t>: the DL/downstream TX timing is delayed by TA1/2 relati</w:t>
      </w:r>
      <w:r w:rsidR="00220E52">
        <w:rPr>
          <w:lang w:val="en-US"/>
        </w:rPr>
        <w:t>ve to the upstream TX timing, or</w:t>
      </w:r>
      <w:r w:rsidR="00396EAE">
        <w:rPr>
          <w:lang w:val="en-US"/>
        </w:rPr>
        <w:t xml:space="preserve"> equivalently, advance by TA1/2 relative to the timing of received downstream</w:t>
      </w:r>
      <w:r w:rsidR="005B4AEC">
        <w:rPr>
          <w:lang w:val="en-US"/>
        </w:rPr>
        <w:t xml:space="preserve">. </w:t>
      </w:r>
      <w:r w:rsidR="00220E52">
        <w:rPr>
          <w:lang w:val="en-US"/>
        </w:rPr>
        <w:t>Consequently</w:t>
      </w:r>
      <w:r w:rsidR="005B4AEC">
        <w:rPr>
          <w:lang w:val="en-US"/>
        </w:rPr>
        <w:t>, there will be separate TX timings at the IAB node for UL/upstream and DL/downstream.</w:t>
      </w:r>
    </w:p>
    <w:p w14:paraId="4B4653BB" w14:textId="4A5F5E40" w:rsidR="005B4AEC" w:rsidRPr="005B4AEC" w:rsidRDefault="005B4AEC" w:rsidP="00FD254A">
      <w:pPr>
        <w:rPr>
          <w:b/>
          <w:lang w:val="en-US"/>
        </w:rPr>
      </w:pPr>
      <w:r w:rsidRPr="005B4AEC">
        <w:rPr>
          <w:b/>
          <w:lang w:val="en-US"/>
        </w:rPr>
        <w:t>Observation</w:t>
      </w:r>
      <w:r w:rsidR="00340D5F">
        <w:rPr>
          <w:b/>
          <w:lang w:val="en-US"/>
        </w:rPr>
        <w:t xml:space="preserve"> 2</w:t>
      </w:r>
      <w:r w:rsidRPr="005B4AEC">
        <w:rPr>
          <w:b/>
          <w:lang w:val="en-US"/>
        </w:rPr>
        <w:t xml:space="preserve">. To </w:t>
      </w:r>
      <w:r w:rsidR="00464DB6">
        <w:rPr>
          <w:b/>
          <w:lang w:val="en-US"/>
        </w:rPr>
        <w:t>maintain network synchronizes DL in all cells</w:t>
      </w:r>
      <w:r w:rsidRPr="005B4AEC">
        <w:rPr>
          <w:b/>
          <w:lang w:val="en-US"/>
        </w:rPr>
        <w:t xml:space="preserve">, IAB nodes </w:t>
      </w:r>
      <w:r w:rsidR="00464DB6">
        <w:rPr>
          <w:b/>
          <w:lang w:val="en-US"/>
        </w:rPr>
        <w:t xml:space="preserve">should advance the DL </w:t>
      </w:r>
      <w:r w:rsidR="00702C80">
        <w:rPr>
          <w:b/>
          <w:lang w:val="en-US"/>
        </w:rPr>
        <w:t xml:space="preserve">TX </w:t>
      </w:r>
      <w:r w:rsidR="00464DB6">
        <w:rPr>
          <w:b/>
          <w:lang w:val="en-US"/>
        </w:rPr>
        <w:t xml:space="preserve">timing by </w:t>
      </w:r>
      <w:r w:rsidRPr="005B4AEC">
        <w:rPr>
          <w:b/>
          <w:lang w:val="en-US"/>
        </w:rPr>
        <w:t xml:space="preserve">TA/2 </w:t>
      </w:r>
      <w:r w:rsidR="006C65A1">
        <w:rPr>
          <w:b/>
          <w:lang w:val="en-US"/>
        </w:rPr>
        <w:t xml:space="preserve">relative to the timing of the </w:t>
      </w:r>
      <w:r w:rsidR="00464DB6">
        <w:rPr>
          <w:b/>
          <w:lang w:val="en-US"/>
        </w:rPr>
        <w:t xml:space="preserve">BH RX </w:t>
      </w:r>
      <w:r w:rsidR="006C65A1">
        <w:rPr>
          <w:b/>
          <w:lang w:val="en-US"/>
        </w:rPr>
        <w:t>signal</w:t>
      </w:r>
      <w:r w:rsidRPr="005B4AEC">
        <w:rPr>
          <w:b/>
          <w:lang w:val="en-US"/>
        </w:rPr>
        <w:t>.</w:t>
      </w:r>
    </w:p>
    <w:p w14:paraId="78A15523" w14:textId="46072AC2" w:rsidR="005B4AEC" w:rsidRDefault="005B4AEC" w:rsidP="00FD254A">
      <w:pPr>
        <w:rPr>
          <w:lang w:val="en-US"/>
        </w:rPr>
      </w:pPr>
      <w:r>
        <w:rPr>
          <w:lang w:val="en-US"/>
        </w:rPr>
        <w:t>On the next hop (BH2), there will be similar timing adjustment at IAB</w:t>
      </w:r>
      <w:r w:rsidR="006C65A1">
        <w:rPr>
          <w:lang w:val="en-US"/>
        </w:rPr>
        <w:t xml:space="preserve"> node </w:t>
      </w:r>
      <w:r>
        <w:rPr>
          <w:lang w:val="en-US"/>
        </w:rPr>
        <w:t>2. One should note that the TA2 may differ from TA1 (in Fig.1 T</w:t>
      </w:r>
      <w:r w:rsidRPr="003B05D9">
        <w:rPr>
          <w:vertAlign w:val="subscript"/>
          <w:lang w:val="en-US"/>
        </w:rPr>
        <w:t>P1</w:t>
      </w:r>
      <w:r>
        <w:rPr>
          <w:lang w:val="en-US"/>
        </w:rPr>
        <w:t xml:space="preserve"> &gt; T</w:t>
      </w:r>
      <w:r w:rsidRPr="003B05D9">
        <w:rPr>
          <w:vertAlign w:val="subscript"/>
          <w:lang w:val="en-US"/>
        </w:rPr>
        <w:t>P2</w:t>
      </w:r>
      <w:r>
        <w:rPr>
          <w:lang w:val="en-US"/>
        </w:rPr>
        <w:t>) but that should not affect the timing adjustments that shall be done by IAB</w:t>
      </w:r>
      <w:r w:rsidR="006C65A1">
        <w:rPr>
          <w:lang w:val="en-US"/>
        </w:rPr>
        <w:t xml:space="preserve"> node </w:t>
      </w:r>
      <w:r>
        <w:rPr>
          <w:lang w:val="en-US"/>
        </w:rPr>
        <w:t xml:space="preserve">2. IAB </w:t>
      </w:r>
      <w:r w:rsidR="00602B30">
        <w:rPr>
          <w:lang w:val="en-US"/>
        </w:rPr>
        <w:t xml:space="preserve">node 2 </w:t>
      </w:r>
      <w:r>
        <w:rPr>
          <w:lang w:val="en-US"/>
        </w:rPr>
        <w:t xml:space="preserve">UL timing is adjusted by TA2 compensating the two-way propagation delay over BH2. The UL slot will arrive </w:t>
      </w:r>
      <w:r>
        <w:rPr>
          <w:lang w:val="en-US"/>
        </w:rPr>
        <w:lastRenderedPageBreak/>
        <w:t>at IAB</w:t>
      </w:r>
      <w:r w:rsidR="006C65A1">
        <w:rPr>
          <w:lang w:val="en-US"/>
        </w:rPr>
        <w:t xml:space="preserve"> node </w:t>
      </w:r>
      <w:r>
        <w:rPr>
          <w:lang w:val="en-US"/>
        </w:rPr>
        <w:t xml:space="preserve">1 </w:t>
      </w:r>
      <w:r w:rsidR="00340D5F">
        <w:rPr>
          <w:lang w:val="en-US"/>
        </w:rPr>
        <w:t>aligned with the UL timing of the cell served by IAB</w:t>
      </w:r>
      <w:r w:rsidR="006C65A1">
        <w:rPr>
          <w:lang w:val="en-US"/>
        </w:rPr>
        <w:t xml:space="preserve"> node </w:t>
      </w:r>
      <w:r w:rsidR="00340D5F">
        <w:rPr>
          <w:lang w:val="en-US"/>
        </w:rPr>
        <w:t>1. Comparing the IAB</w:t>
      </w:r>
      <w:r w:rsidR="006C65A1">
        <w:rPr>
          <w:lang w:val="en-US"/>
        </w:rPr>
        <w:t xml:space="preserve"> node </w:t>
      </w:r>
      <w:r w:rsidR="00340D5F">
        <w:rPr>
          <w:lang w:val="en-US"/>
        </w:rPr>
        <w:t>1 RX timing on BH1 and BH2 it can be noticed that they also differ, similarly to the TX timing on the two directions. Hence, both TX and RX timing at the IAB node will have two timing references.</w:t>
      </w:r>
    </w:p>
    <w:p w14:paraId="5CB326D9" w14:textId="6B9A4E59" w:rsidR="00340D5F" w:rsidRPr="005B4AEC" w:rsidRDefault="00340D5F" w:rsidP="00340D5F">
      <w:pPr>
        <w:rPr>
          <w:b/>
          <w:lang w:val="en-US"/>
        </w:rPr>
      </w:pPr>
      <w:r w:rsidRPr="005B4AEC">
        <w:rPr>
          <w:b/>
          <w:lang w:val="en-US"/>
        </w:rPr>
        <w:t>Observation</w:t>
      </w:r>
      <w:r>
        <w:rPr>
          <w:b/>
          <w:lang w:val="en-US"/>
        </w:rPr>
        <w:t xml:space="preserve"> 3</w:t>
      </w:r>
      <w:r w:rsidRPr="005B4AEC">
        <w:rPr>
          <w:b/>
          <w:lang w:val="en-US"/>
        </w:rPr>
        <w:t xml:space="preserve">. </w:t>
      </w:r>
      <w:r>
        <w:rPr>
          <w:b/>
          <w:lang w:val="en-US"/>
        </w:rPr>
        <w:t>The RX timing on downstream and upstream BH links will be different when maintaining the network synchronization and alignment of UL signals</w:t>
      </w:r>
      <w:r w:rsidRPr="005B4AEC">
        <w:rPr>
          <w:b/>
          <w:lang w:val="en-US"/>
        </w:rPr>
        <w:t>.</w:t>
      </w:r>
    </w:p>
    <w:p w14:paraId="2DCCB404" w14:textId="7839F71E" w:rsidR="002B3B5A" w:rsidRDefault="00E11C9D" w:rsidP="00FD254A">
      <w:pPr>
        <w:rPr>
          <w:lang w:val="en-US"/>
        </w:rPr>
      </w:pPr>
      <w:r>
        <w:rPr>
          <w:lang w:val="en-US"/>
        </w:rPr>
        <w:t>The presented</w:t>
      </w:r>
      <w:r w:rsidR="003365DB">
        <w:rPr>
          <w:lang w:val="en-US"/>
        </w:rPr>
        <w:t xml:space="preserve"> way of</w:t>
      </w:r>
      <w:r>
        <w:rPr>
          <w:lang w:val="en-US"/>
        </w:rPr>
        <w:t xml:space="preserve"> IAB timing adjustment</w:t>
      </w:r>
      <w:r w:rsidR="003365DB">
        <w:rPr>
          <w:lang w:val="en-US"/>
        </w:rPr>
        <w:t xml:space="preserve"> corresponds to </w:t>
      </w:r>
      <w:r>
        <w:rPr>
          <w:lang w:val="en-US"/>
        </w:rPr>
        <w:t>O</w:t>
      </w:r>
      <w:r w:rsidR="003365DB">
        <w:rPr>
          <w:lang w:val="en-US"/>
        </w:rPr>
        <w:t xml:space="preserve">ption 1 in </w:t>
      </w:r>
      <w:r w:rsidR="003365DB">
        <w:rPr>
          <w:lang w:val="en-US"/>
        </w:rPr>
        <w:fldChar w:fldCharType="begin"/>
      </w:r>
      <w:r w:rsidR="003365DB">
        <w:rPr>
          <w:lang w:val="en-US"/>
        </w:rPr>
        <w:instrText xml:space="preserve"> REF _Ref513033675 \r \h </w:instrText>
      </w:r>
      <w:r w:rsidR="003365DB">
        <w:rPr>
          <w:lang w:val="en-US"/>
        </w:rPr>
      </w:r>
      <w:r w:rsidR="003365DB">
        <w:rPr>
          <w:lang w:val="en-US"/>
        </w:rPr>
        <w:fldChar w:fldCharType="separate"/>
      </w:r>
      <w:r w:rsidR="003365DB">
        <w:rPr>
          <w:lang w:val="en-US"/>
        </w:rPr>
        <w:t>[3]</w:t>
      </w:r>
      <w:r w:rsidR="003365DB">
        <w:rPr>
          <w:lang w:val="en-US"/>
        </w:rPr>
        <w:fldChar w:fldCharType="end"/>
      </w:r>
      <w:r w:rsidR="003365DB">
        <w:rPr>
          <w:lang w:val="en-US"/>
        </w:rPr>
        <w:t xml:space="preserve">. </w:t>
      </w:r>
      <w:r w:rsidR="00573E71">
        <w:rPr>
          <w:lang w:val="en-US"/>
        </w:rPr>
        <w:t xml:space="preserve">The other options in </w:t>
      </w:r>
      <w:r w:rsidR="00573E71">
        <w:rPr>
          <w:lang w:val="en-US"/>
        </w:rPr>
        <w:fldChar w:fldCharType="begin"/>
      </w:r>
      <w:r w:rsidR="00573E71">
        <w:rPr>
          <w:lang w:val="en-US"/>
        </w:rPr>
        <w:instrText xml:space="preserve"> REF _Ref513033675 \r \h </w:instrText>
      </w:r>
      <w:r w:rsidR="00573E71">
        <w:rPr>
          <w:lang w:val="en-US"/>
        </w:rPr>
      </w:r>
      <w:r w:rsidR="00573E71">
        <w:rPr>
          <w:lang w:val="en-US"/>
        </w:rPr>
        <w:fldChar w:fldCharType="separate"/>
      </w:r>
      <w:r w:rsidR="00573E71">
        <w:rPr>
          <w:lang w:val="en-US"/>
        </w:rPr>
        <w:t>[3]</w:t>
      </w:r>
      <w:r w:rsidR="00573E71">
        <w:rPr>
          <w:lang w:val="en-US"/>
        </w:rPr>
        <w:fldChar w:fldCharType="end"/>
      </w:r>
      <w:r w:rsidR="00573E71">
        <w:rPr>
          <w:lang w:val="en-US"/>
        </w:rPr>
        <w:t xml:space="preserve">, would result in mis-alignment of DL TX in </w:t>
      </w:r>
      <w:r w:rsidR="00E90924">
        <w:rPr>
          <w:lang w:val="en-US"/>
        </w:rPr>
        <w:t xml:space="preserve">the </w:t>
      </w:r>
      <w:r w:rsidR="00573E71">
        <w:rPr>
          <w:lang w:val="en-US"/>
        </w:rPr>
        <w:t xml:space="preserve">donor and IAB cells. </w:t>
      </w:r>
      <w:r w:rsidR="003365DB">
        <w:rPr>
          <w:lang w:val="en-US"/>
        </w:rPr>
        <w:t>With the other options, t</w:t>
      </w:r>
      <w:r w:rsidR="00573E71">
        <w:rPr>
          <w:lang w:val="en-US"/>
        </w:rPr>
        <w:t xml:space="preserve">he resulted time offset would also </w:t>
      </w:r>
      <w:r w:rsidR="00E6135E">
        <w:rPr>
          <w:lang w:val="en-US"/>
        </w:rPr>
        <w:t xml:space="preserve">add up </w:t>
      </w:r>
      <w:r w:rsidR="00573E71">
        <w:rPr>
          <w:lang w:val="en-US"/>
        </w:rPr>
        <w:t>over multiple hops if the same prin</w:t>
      </w:r>
      <w:r w:rsidR="00E6135E">
        <w:rPr>
          <w:lang w:val="en-US"/>
        </w:rPr>
        <w:t>ciple</w:t>
      </w:r>
      <w:r w:rsidR="00E90924">
        <w:rPr>
          <w:lang w:val="en-US"/>
        </w:rPr>
        <w:t xml:space="preserve"> </w:t>
      </w:r>
      <w:r w:rsidR="00E6135E">
        <w:rPr>
          <w:lang w:val="en-US"/>
        </w:rPr>
        <w:t xml:space="preserve">is </w:t>
      </w:r>
      <w:r w:rsidR="00E90924">
        <w:rPr>
          <w:lang w:val="en-US"/>
        </w:rPr>
        <w:t>used on each BH link.</w:t>
      </w:r>
      <w:r w:rsidR="00573E71">
        <w:rPr>
          <w:lang w:val="en-US"/>
        </w:rPr>
        <w:t xml:space="preserve"> </w:t>
      </w:r>
      <w:r w:rsidR="00E6135E">
        <w:rPr>
          <w:lang w:val="en-US"/>
        </w:rPr>
        <w:t xml:space="preserve">This would essentially result in behavior as in an asynchronous network which will not be optimum for a TDD system. </w:t>
      </w:r>
      <w:r w:rsidR="00573E71">
        <w:rPr>
          <w:lang w:val="en-US"/>
        </w:rPr>
        <w:t>Considering the IAB applicability especially on mmWave bands and TDD operation, the network synchroniz</w:t>
      </w:r>
      <w:r w:rsidR="00CF66E9">
        <w:rPr>
          <w:lang w:val="en-US"/>
        </w:rPr>
        <w:t xml:space="preserve">ation can be assumed. </w:t>
      </w:r>
      <w:r w:rsidR="0009508C">
        <w:rPr>
          <w:lang w:val="en-US"/>
        </w:rPr>
        <w:t>Synchronized</w:t>
      </w:r>
      <w:r w:rsidR="00E90924">
        <w:rPr>
          <w:lang w:val="en-US"/>
        </w:rPr>
        <w:t xml:space="preserve"> operation shall be the same </w:t>
      </w:r>
      <w:r w:rsidR="00CF66E9">
        <w:rPr>
          <w:lang w:val="en-US"/>
        </w:rPr>
        <w:t>wit</w:t>
      </w:r>
      <w:r w:rsidR="0009508C">
        <w:rPr>
          <w:lang w:val="en-US"/>
        </w:rPr>
        <w:t>h and without IAB deployment. A</w:t>
      </w:r>
      <w:r w:rsidR="00573E71">
        <w:rPr>
          <w:lang w:val="en-US"/>
        </w:rPr>
        <w:t>ny offsets in inter-cell timing will result in IAB spec</w:t>
      </w:r>
      <w:r w:rsidR="00CF66E9">
        <w:rPr>
          <w:lang w:val="en-US"/>
        </w:rPr>
        <w:t>ific interference scenarios where the timing differences between interfering and victim nodes tend to increase and CP lengths can be exceeded more frequently.</w:t>
      </w:r>
    </w:p>
    <w:p w14:paraId="6826EB39" w14:textId="3DF769F5" w:rsidR="00CF66E9" w:rsidRPr="005B4AEC" w:rsidRDefault="00CF66E9" w:rsidP="00CF66E9">
      <w:pPr>
        <w:rPr>
          <w:b/>
          <w:lang w:val="en-US"/>
        </w:rPr>
      </w:pPr>
      <w:r w:rsidRPr="005B4AEC">
        <w:rPr>
          <w:b/>
          <w:lang w:val="en-US"/>
        </w:rPr>
        <w:t>Observation</w:t>
      </w:r>
      <w:r>
        <w:rPr>
          <w:b/>
          <w:lang w:val="en-US"/>
        </w:rPr>
        <w:t xml:space="preserve"> 4</w:t>
      </w:r>
      <w:r w:rsidRPr="005B4AEC">
        <w:rPr>
          <w:b/>
          <w:lang w:val="en-US"/>
        </w:rPr>
        <w:t xml:space="preserve">. </w:t>
      </w:r>
      <w:r>
        <w:rPr>
          <w:b/>
          <w:lang w:val="en-US"/>
        </w:rPr>
        <w:t xml:space="preserve">To achieve normal synchronized network operation, the </w:t>
      </w:r>
      <w:r w:rsidR="00E6135E">
        <w:rPr>
          <w:b/>
          <w:lang w:val="en-US"/>
        </w:rPr>
        <w:t xml:space="preserve">access link </w:t>
      </w:r>
      <w:r>
        <w:rPr>
          <w:b/>
          <w:lang w:val="en-US"/>
        </w:rPr>
        <w:t xml:space="preserve">DL TX timing of </w:t>
      </w:r>
      <w:r w:rsidR="00E6135E">
        <w:rPr>
          <w:b/>
          <w:lang w:val="en-US"/>
        </w:rPr>
        <w:t xml:space="preserve">an </w:t>
      </w:r>
      <w:r>
        <w:rPr>
          <w:b/>
          <w:lang w:val="en-US"/>
        </w:rPr>
        <w:t>IAB n</w:t>
      </w:r>
      <w:r w:rsidR="00E6135E">
        <w:rPr>
          <w:b/>
          <w:lang w:val="en-US"/>
        </w:rPr>
        <w:t>ode</w:t>
      </w:r>
      <w:r>
        <w:rPr>
          <w:b/>
          <w:lang w:val="en-US"/>
        </w:rPr>
        <w:t xml:space="preserve"> </w:t>
      </w:r>
      <w:r w:rsidR="00E90924">
        <w:rPr>
          <w:b/>
          <w:lang w:val="en-US"/>
        </w:rPr>
        <w:t>should</w:t>
      </w:r>
      <w:r>
        <w:rPr>
          <w:b/>
          <w:lang w:val="en-US"/>
        </w:rPr>
        <w:t xml:space="preserve"> be aligned with </w:t>
      </w:r>
      <w:r w:rsidR="00E6135E">
        <w:rPr>
          <w:b/>
          <w:lang w:val="en-US"/>
        </w:rPr>
        <w:t xml:space="preserve">that of </w:t>
      </w:r>
      <w:r>
        <w:rPr>
          <w:b/>
          <w:lang w:val="en-US"/>
        </w:rPr>
        <w:t>the Donor</w:t>
      </w:r>
      <w:r w:rsidR="00E6135E">
        <w:rPr>
          <w:b/>
          <w:lang w:val="en-US"/>
        </w:rPr>
        <w:t xml:space="preserve"> and other IAB nodes</w:t>
      </w:r>
      <w:r>
        <w:rPr>
          <w:b/>
          <w:lang w:val="en-US"/>
        </w:rPr>
        <w:t>.</w:t>
      </w:r>
    </w:p>
    <w:p w14:paraId="0C22DB70" w14:textId="77777777" w:rsidR="00CF66E9" w:rsidRDefault="00CF66E9" w:rsidP="00FD254A">
      <w:pPr>
        <w:rPr>
          <w:lang w:val="en-US"/>
        </w:rPr>
      </w:pPr>
    </w:p>
    <w:p w14:paraId="46B25F00" w14:textId="1790BA6C" w:rsidR="002B3B5A" w:rsidRDefault="002B3B5A" w:rsidP="002B3B5A">
      <w:pPr>
        <w:pStyle w:val="Heading2"/>
        <w:rPr>
          <w:lang w:val="en-US"/>
        </w:rPr>
      </w:pPr>
      <w:r>
        <w:rPr>
          <w:lang w:val="en-US"/>
        </w:rPr>
        <w:t>2.2</w:t>
      </w:r>
      <w:r>
        <w:rPr>
          <w:lang w:val="en-US"/>
        </w:rPr>
        <w:tab/>
        <w:t>Timing requirements</w:t>
      </w:r>
    </w:p>
    <w:p w14:paraId="2CB0CBB1" w14:textId="0E74FA14" w:rsidR="003B4778" w:rsidRDefault="00223C69" w:rsidP="003B4778">
      <w:pPr>
        <w:rPr>
          <w:lang w:val="en-US"/>
        </w:rPr>
      </w:pPr>
      <w:r>
        <w:rPr>
          <w:lang w:val="en-US"/>
        </w:rPr>
        <w:t>In NR</w:t>
      </w:r>
      <w:r w:rsidR="00C02C53">
        <w:rPr>
          <w:lang w:val="en-US"/>
        </w:rPr>
        <w:t>,</w:t>
      </w:r>
      <w:r>
        <w:rPr>
          <w:lang w:val="en-US"/>
        </w:rPr>
        <w:t xml:space="preserve"> the TA granularity depends on the used numerology</w:t>
      </w:r>
      <w:r w:rsidR="00C02C53">
        <w:rPr>
          <w:lang w:val="en-US"/>
        </w:rPr>
        <w:t xml:space="preserve"> as </w:t>
      </w:r>
      <w:r w:rsidR="003B4778">
        <w:rPr>
          <w:lang w:val="en-US"/>
        </w:rPr>
        <w:t xml:space="preserve">specified in </w:t>
      </w:r>
      <w:r w:rsidR="003B4778">
        <w:rPr>
          <w:lang w:val="en-US"/>
        </w:rPr>
        <w:fldChar w:fldCharType="begin"/>
      </w:r>
      <w:r w:rsidR="003B4778">
        <w:rPr>
          <w:lang w:val="en-US"/>
        </w:rPr>
        <w:instrText xml:space="preserve"> REF _Ref510082082 \r \h </w:instrText>
      </w:r>
      <w:r w:rsidR="003B4778">
        <w:rPr>
          <w:lang w:val="en-US"/>
        </w:rPr>
      </w:r>
      <w:r w:rsidR="003B4778">
        <w:rPr>
          <w:lang w:val="en-US"/>
        </w:rPr>
        <w:fldChar w:fldCharType="separate"/>
      </w:r>
      <w:r w:rsidR="003B4778">
        <w:rPr>
          <w:lang w:val="en-US"/>
        </w:rPr>
        <w:t>[5]</w:t>
      </w:r>
      <w:r w:rsidR="003B4778">
        <w:rPr>
          <w:lang w:val="en-US"/>
        </w:rPr>
        <w:fldChar w:fldCharType="end"/>
      </w:r>
      <w:r w:rsidR="003B4778">
        <w:rPr>
          <w:lang w:val="en-US"/>
        </w:rPr>
        <w:t>:</w:t>
      </w:r>
    </w:p>
    <w:p w14:paraId="15831F5E" w14:textId="77777777" w:rsidR="003B4778" w:rsidRPr="00216B2E" w:rsidRDefault="003B4778" w:rsidP="003B4778">
      <w:pPr>
        <w:ind w:left="284"/>
        <w:rPr>
          <w:i/>
          <w:lang w:val="en-US"/>
        </w:rPr>
      </w:pPr>
      <w:r>
        <w:rPr>
          <w:i/>
          <w:lang w:val="en-US"/>
        </w:rPr>
        <w:t>“</w:t>
      </w:r>
      <w:r w:rsidRPr="00BE41EC">
        <w:rPr>
          <w:i/>
          <w:lang w:val="en-US"/>
        </w:rPr>
        <w:t xml:space="preserve">For a subcarrier spacing of </w:t>
      </w:r>
      <w:r w:rsidRPr="00B916EC">
        <w:rPr>
          <w:position w:val="-6"/>
        </w:rPr>
        <w:object w:dxaOrig="560" w:dyaOrig="300" w14:anchorId="7DADA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14" o:title=""/>
          </v:shape>
          <o:OLEObject Type="Embed" ProgID="Equation.3" ShapeID="_x0000_i1025" DrawAspect="Content" ObjectID="_1587583195" r:id="rId15"/>
        </w:object>
      </w:r>
      <w:r w:rsidRPr="00216B2E">
        <w:rPr>
          <w:i/>
          <w:lang w:val="en-US"/>
        </w:rPr>
        <w:t xml:space="preserve"> kHz, the timing advance command for a TAG indicates the change of the uplink timing relative to the current uplink timi</w:t>
      </w:r>
      <w:r w:rsidRPr="0040130A">
        <w:rPr>
          <w:i/>
          <w:lang w:val="en-US"/>
        </w:rPr>
        <w:t xml:space="preserve">ng for the TAG as multiples of </w:t>
      </w:r>
      <w:r w:rsidRPr="00B916EC">
        <w:rPr>
          <w:position w:val="-10"/>
        </w:rPr>
        <w:object w:dxaOrig="1160" w:dyaOrig="340" w14:anchorId="0AA31031">
          <v:shape id="_x0000_i1026" type="#_x0000_t75" style="width:56.25pt;height:17.25pt" o:ole="">
            <v:imagedata r:id="rId16" o:title=""/>
          </v:shape>
          <o:OLEObject Type="Embed" ProgID="Equation.3" ShapeID="_x0000_i1026" DrawAspect="Content" ObjectID="_1587583196" r:id="rId17"/>
        </w:object>
      </w:r>
      <w:r w:rsidRPr="00216B2E">
        <w:rPr>
          <w:i/>
          <w:lang w:val="en-US"/>
        </w:rPr>
        <w:t>.</w:t>
      </w:r>
      <w:r>
        <w:rPr>
          <w:i/>
          <w:lang w:val="en-US"/>
        </w:rPr>
        <w:t>”</w:t>
      </w:r>
    </w:p>
    <w:p w14:paraId="4D7CC585" w14:textId="0384BE3D" w:rsidR="002B3B5A" w:rsidRDefault="00C02C53" w:rsidP="002B3B5A">
      <w:pPr>
        <w:rPr>
          <w:lang w:val="en-US"/>
        </w:rPr>
      </w:pPr>
      <w:r>
        <w:rPr>
          <w:lang w:val="en-US"/>
        </w:rPr>
        <w:t>The corresponding granularities are shown in</w:t>
      </w:r>
      <w:r w:rsidR="0003163F">
        <w:rPr>
          <w:lang w:val="en-US"/>
        </w:rPr>
        <w:t xml:space="preserve"> Table</w:t>
      </w:r>
      <w:r w:rsidR="0009774C">
        <w:rPr>
          <w:lang w:val="en-US"/>
        </w:rPr>
        <w:t xml:space="preserve"> 1</w:t>
      </w:r>
      <w:r w:rsidR="00223C69">
        <w:rPr>
          <w:lang w:val="en-US"/>
        </w:rPr>
        <w:t>:</w:t>
      </w:r>
    </w:p>
    <w:p w14:paraId="125BF63E" w14:textId="7926F5B2" w:rsidR="0003163F" w:rsidRDefault="0003163F" w:rsidP="0003163F">
      <w:pPr>
        <w:jc w:val="center"/>
        <w:rPr>
          <w:lang w:val="en-US"/>
        </w:rPr>
      </w:pPr>
      <w:r>
        <w:rPr>
          <w:lang w:val="en-US"/>
        </w:rPr>
        <w:t xml:space="preserve">Table 1. </w:t>
      </w:r>
      <w:r w:rsidR="0009774C">
        <w:rPr>
          <w:lang w:val="en-US"/>
        </w:rPr>
        <w:t>Granularity of TA adjustment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3"/>
        <w:gridCol w:w="1303"/>
      </w:tblGrid>
      <w:tr w:rsidR="0009774C" w14:paraId="2AAC4D6A" w14:textId="77777777" w:rsidTr="0009774C">
        <w:trPr>
          <w:trHeight w:val="539"/>
          <w:jc w:val="center"/>
        </w:trPr>
        <w:tc>
          <w:tcPr>
            <w:tcW w:w="3113" w:type="dxa"/>
            <w:tcBorders>
              <w:top w:val="single" w:sz="4" w:space="0" w:color="000000"/>
              <w:left w:val="single" w:sz="4" w:space="0" w:color="000000"/>
              <w:bottom w:val="single" w:sz="4" w:space="0" w:color="000000"/>
              <w:right w:val="single" w:sz="4" w:space="0" w:color="000000"/>
            </w:tcBorders>
            <w:hideMark/>
          </w:tcPr>
          <w:p w14:paraId="21E118CF" w14:textId="77777777" w:rsidR="0009774C" w:rsidRDefault="0009774C" w:rsidP="0009774C">
            <w:pPr>
              <w:spacing w:after="0"/>
              <w:rPr>
                <w:i/>
              </w:rPr>
            </w:pPr>
            <w:r>
              <w:rPr>
                <w:i/>
              </w:rPr>
              <w:t>Subcarrier Spacing (kHz) of the uplink transmission</w:t>
            </w:r>
          </w:p>
        </w:tc>
        <w:tc>
          <w:tcPr>
            <w:tcW w:w="1303" w:type="dxa"/>
            <w:tcBorders>
              <w:top w:val="single" w:sz="4" w:space="0" w:color="000000"/>
              <w:left w:val="single" w:sz="4" w:space="0" w:color="000000"/>
              <w:bottom w:val="single" w:sz="4" w:space="0" w:color="000000"/>
              <w:right w:val="single" w:sz="4" w:space="0" w:color="000000"/>
            </w:tcBorders>
            <w:hideMark/>
          </w:tcPr>
          <w:p w14:paraId="538183DB" w14:textId="77777777" w:rsidR="0009774C" w:rsidRDefault="0009774C" w:rsidP="0009774C">
            <w:pPr>
              <w:spacing w:after="0"/>
              <w:rPr>
                <w:i/>
              </w:rPr>
            </w:pPr>
            <w:r>
              <w:rPr>
                <w:i/>
              </w:rPr>
              <w:t xml:space="preserve">Unit </w:t>
            </w:r>
          </w:p>
        </w:tc>
      </w:tr>
      <w:tr w:rsidR="0009774C" w14:paraId="264E4567" w14:textId="77777777" w:rsidTr="0009774C">
        <w:trPr>
          <w:jc w:val="center"/>
        </w:trPr>
        <w:tc>
          <w:tcPr>
            <w:tcW w:w="3113" w:type="dxa"/>
            <w:tcBorders>
              <w:top w:val="single" w:sz="4" w:space="0" w:color="000000"/>
              <w:left w:val="single" w:sz="4" w:space="0" w:color="000000"/>
              <w:bottom w:val="single" w:sz="4" w:space="0" w:color="000000"/>
              <w:right w:val="single" w:sz="4" w:space="0" w:color="000000"/>
            </w:tcBorders>
            <w:hideMark/>
          </w:tcPr>
          <w:p w14:paraId="2F22A1B8" w14:textId="77777777" w:rsidR="0009774C" w:rsidRDefault="0009774C" w:rsidP="0009774C">
            <w:pPr>
              <w:spacing w:after="0"/>
              <w:rPr>
                <w:i/>
              </w:rPr>
            </w:pPr>
            <w:r>
              <w:rPr>
                <w:i/>
              </w:rPr>
              <w:t>15</w:t>
            </w:r>
          </w:p>
        </w:tc>
        <w:tc>
          <w:tcPr>
            <w:tcW w:w="1303" w:type="dxa"/>
            <w:tcBorders>
              <w:top w:val="single" w:sz="4" w:space="0" w:color="000000"/>
              <w:left w:val="single" w:sz="4" w:space="0" w:color="000000"/>
              <w:bottom w:val="single" w:sz="4" w:space="0" w:color="000000"/>
              <w:right w:val="single" w:sz="4" w:space="0" w:color="000000"/>
            </w:tcBorders>
            <w:hideMark/>
          </w:tcPr>
          <w:p w14:paraId="5EA2CAE3" w14:textId="1682DE9D" w:rsidR="0009774C" w:rsidRDefault="0009774C" w:rsidP="0009774C">
            <w:pPr>
              <w:spacing w:after="0"/>
              <w:rPr>
                <w:i/>
              </w:rPr>
            </w:pPr>
            <w:r>
              <w:rPr>
                <w:i/>
              </w:rPr>
              <w:t xml:space="preserve">16*64 </w:t>
            </w:r>
            <w:r w:rsidR="00933850">
              <w:rPr>
                <w:i/>
              </w:rPr>
              <w:t>T</w:t>
            </w:r>
            <w:r w:rsidR="00933850" w:rsidRPr="00716005">
              <w:rPr>
                <w:i/>
                <w:vertAlign w:val="subscript"/>
              </w:rPr>
              <w:t>c</w:t>
            </w:r>
          </w:p>
        </w:tc>
      </w:tr>
      <w:tr w:rsidR="0009774C" w14:paraId="4080BAE9" w14:textId="77777777" w:rsidTr="0009774C">
        <w:trPr>
          <w:jc w:val="center"/>
        </w:trPr>
        <w:tc>
          <w:tcPr>
            <w:tcW w:w="3113" w:type="dxa"/>
            <w:tcBorders>
              <w:top w:val="single" w:sz="4" w:space="0" w:color="000000"/>
              <w:left w:val="single" w:sz="4" w:space="0" w:color="000000"/>
              <w:bottom w:val="single" w:sz="4" w:space="0" w:color="000000"/>
              <w:right w:val="single" w:sz="4" w:space="0" w:color="000000"/>
            </w:tcBorders>
            <w:hideMark/>
          </w:tcPr>
          <w:p w14:paraId="23C93937" w14:textId="77777777" w:rsidR="0009774C" w:rsidRDefault="0009774C" w:rsidP="0009774C">
            <w:pPr>
              <w:spacing w:after="0"/>
              <w:rPr>
                <w:i/>
              </w:rPr>
            </w:pPr>
            <w:r>
              <w:rPr>
                <w:i/>
              </w:rPr>
              <w:t>30</w:t>
            </w:r>
          </w:p>
        </w:tc>
        <w:tc>
          <w:tcPr>
            <w:tcW w:w="1303" w:type="dxa"/>
            <w:tcBorders>
              <w:top w:val="single" w:sz="4" w:space="0" w:color="000000"/>
              <w:left w:val="single" w:sz="4" w:space="0" w:color="000000"/>
              <w:bottom w:val="single" w:sz="4" w:space="0" w:color="000000"/>
              <w:right w:val="single" w:sz="4" w:space="0" w:color="000000"/>
            </w:tcBorders>
            <w:hideMark/>
          </w:tcPr>
          <w:p w14:paraId="79A4C0AE" w14:textId="35A2E635" w:rsidR="0009774C" w:rsidRDefault="0009774C" w:rsidP="0009774C">
            <w:pPr>
              <w:spacing w:after="0"/>
              <w:rPr>
                <w:i/>
              </w:rPr>
            </w:pPr>
            <w:r>
              <w:rPr>
                <w:i/>
              </w:rPr>
              <w:t xml:space="preserve">8*64 </w:t>
            </w:r>
            <w:r w:rsidR="00AD5A83">
              <w:rPr>
                <w:i/>
              </w:rPr>
              <w:t>T</w:t>
            </w:r>
            <w:r w:rsidR="00AD5A83" w:rsidRPr="00543F8C">
              <w:rPr>
                <w:i/>
                <w:vertAlign w:val="subscript"/>
              </w:rPr>
              <w:t>c</w:t>
            </w:r>
          </w:p>
        </w:tc>
      </w:tr>
      <w:tr w:rsidR="0009774C" w14:paraId="3FBFBA5E" w14:textId="77777777" w:rsidTr="0009774C">
        <w:trPr>
          <w:jc w:val="center"/>
        </w:trPr>
        <w:tc>
          <w:tcPr>
            <w:tcW w:w="3113" w:type="dxa"/>
            <w:tcBorders>
              <w:top w:val="single" w:sz="4" w:space="0" w:color="000000"/>
              <w:left w:val="single" w:sz="4" w:space="0" w:color="000000"/>
              <w:bottom w:val="single" w:sz="4" w:space="0" w:color="000000"/>
              <w:right w:val="single" w:sz="4" w:space="0" w:color="000000"/>
            </w:tcBorders>
            <w:hideMark/>
          </w:tcPr>
          <w:p w14:paraId="258F6579" w14:textId="77777777" w:rsidR="0009774C" w:rsidRDefault="0009774C" w:rsidP="0009774C">
            <w:pPr>
              <w:spacing w:after="0"/>
              <w:rPr>
                <w:i/>
              </w:rPr>
            </w:pPr>
            <w:r>
              <w:rPr>
                <w:i/>
              </w:rPr>
              <w:t>60</w:t>
            </w:r>
          </w:p>
        </w:tc>
        <w:tc>
          <w:tcPr>
            <w:tcW w:w="1303" w:type="dxa"/>
            <w:tcBorders>
              <w:top w:val="single" w:sz="4" w:space="0" w:color="000000"/>
              <w:left w:val="single" w:sz="4" w:space="0" w:color="000000"/>
              <w:bottom w:val="single" w:sz="4" w:space="0" w:color="000000"/>
              <w:right w:val="single" w:sz="4" w:space="0" w:color="000000"/>
            </w:tcBorders>
            <w:hideMark/>
          </w:tcPr>
          <w:p w14:paraId="09348ADB" w14:textId="4566496F" w:rsidR="0009774C" w:rsidRDefault="0009774C" w:rsidP="0009774C">
            <w:pPr>
              <w:spacing w:after="0"/>
              <w:rPr>
                <w:i/>
              </w:rPr>
            </w:pPr>
            <w:r>
              <w:rPr>
                <w:i/>
              </w:rPr>
              <w:t xml:space="preserve">4*64 </w:t>
            </w:r>
            <w:r w:rsidR="00AD5A83">
              <w:rPr>
                <w:i/>
              </w:rPr>
              <w:t>T</w:t>
            </w:r>
            <w:r w:rsidR="00AD5A83" w:rsidRPr="00543F8C">
              <w:rPr>
                <w:i/>
                <w:vertAlign w:val="subscript"/>
              </w:rPr>
              <w:t>c</w:t>
            </w:r>
          </w:p>
        </w:tc>
      </w:tr>
      <w:tr w:rsidR="0009774C" w14:paraId="3ABE5B17" w14:textId="77777777" w:rsidTr="0009774C">
        <w:trPr>
          <w:jc w:val="center"/>
        </w:trPr>
        <w:tc>
          <w:tcPr>
            <w:tcW w:w="3113" w:type="dxa"/>
            <w:tcBorders>
              <w:top w:val="single" w:sz="4" w:space="0" w:color="000000"/>
              <w:left w:val="single" w:sz="4" w:space="0" w:color="000000"/>
              <w:bottom w:val="single" w:sz="4" w:space="0" w:color="000000"/>
              <w:right w:val="single" w:sz="4" w:space="0" w:color="000000"/>
            </w:tcBorders>
            <w:hideMark/>
          </w:tcPr>
          <w:p w14:paraId="395D7493" w14:textId="77777777" w:rsidR="0009774C" w:rsidRDefault="0009774C" w:rsidP="0009774C">
            <w:pPr>
              <w:spacing w:after="0"/>
              <w:rPr>
                <w:i/>
              </w:rPr>
            </w:pPr>
            <w:r>
              <w:rPr>
                <w:i/>
              </w:rPr>
              <w:t>120</w:t>
            </w:r>
          </w:p>
        </w:tc>
        <w:tc>
          <w:tcPr>
            <w:tcW w:w="1303" w:type="dxa"/>
            <w:tcBorders>
              <w:top w:val="single" w:sz="4" w:space="0" w:color="000000"/>
              <w:left w:val="single" w:sz="4" w:space="0" w:color="000000"/>
              <w:bottom w:val="single" w:sz="4" w:space="0" w:color="000000"/>
              <w:right w:val="single" w:sz="4" w:space="0" w:color="000000"/>
            </w:tcBorders>
            <w:hideMark/>
          </w:tcPr>
          <w:p w14:paraId="514E0FBB" w14:textId="001BFA6D" w:rsidR="0009774C" w:rsidRDefault="0009774C" w:rsidP="0009774C">
            <w:pPr>
              <w:spacing w:after="0"/>
              <w:rPr>
                <w:i/>
              </w:rPr>
            </w:pPr>
            <w:r>
              <w:rPr>
                <w:i/>
              </w:rPr>
              <w:t xml:space="preserve">2*64 </w:t>
            </w:r>
            <w:r w:rsidR="00AD5A83">
              <w:rPr>
                <w:i/>
              </w:rPr>
              <w:t>T</w:t>
            </w:r>
            <w:r w:rsidR="00AD5A83" w:rsidRPr="00543F8C">
              <w:rPr>
                <w:i/>
                <w:vertAlign w:val="subscript"/>
              </w:rPr>
              <w:t>c</w:t>
            </w:r>
          </w:p>
        </w:tc>
      </w:tr>
    </w:tbl>
    <w:p w14:paraId="0E002FC4" w14:textId="0B2FBA2A" w:rsidR="00BD504A" w:rsidRDefault="0009774C" w:rsidP="0009774C">
      <w:pPr>
        <w:rPr>
          <w:lang w:val="en-US"/>
        </w:rPr>
      </w:pPr>
      <w:r>
        <w:rPr>
          <w:lang w:val="en-US"/>
        </w:rPr>
        <w:t>With these values, the granularity is largest</w:t>
      </w:r>
      <w:r w:rsidR="00C663A8">
        <w:rPr>
          <w:lang w:val="en-US"/>
        </w:rPr>
        <w:t xml:space="preserve"> with 15kHz SCS being </w:t>
      </w:r>
      <w:r w:rsidR="00BE41EC">
        <w:rPr>
          <w:lang w:val="en-US"/>
        </w:rPr>
        <w:t xml:space="preserve">521ns </w:t>
      </w:r>
      <w:r w:rsidR="00C663A8">
        <w:rPr>
          <w:lang w:val="en-US"/>
        </w:rPr>
        <w:t>and shortest with 120kHz SCS being</w:t>
      </w:r>
      <w:r w:rsidR="00CB45BC">
        <w:rPr>
          <w:lang w:val="en-US"/>
        </w:rPr>
        <w:t xml:space="preserve"> </w:t>
      </w:r>
      <w:r w:rsidR="00BE41EC">
        <w:rPr>
          <w:lang w:val="en-US"/>
        </w:rPr>
        <w:t>65ns</w:t>
      </w:r>
      <w:r w:rsidR="00C663A8">
        <w:rPr>
          <w:lang w:val="en-US"/>
        </w:rPr>
        <w:t>.</w:t>
      </w:r>
      <w:r w:rsidR="00E457DC">
        <w:rPr>
          <w:lang w:val="en-US"/>
        </w:rPr>
        <w:t xml:space="preserve"> </w:t>
      </w:r>
      <w:r w:rsidR="00BD504A">
        <w:rPr>
          <w:lang w:val="en-US"/>
        </w:rPr>
        <w:t xml:space="preserve">Maximum timing error due to granularity </w:t>
      </w:r>
      <w:r w:rsidR="00602B30">
        <w:rPr>
          <w:lang w:val="en-US"/>
        </w:rPr>
        <w:t xml:space="preserve">can be assumed to be </w:t>
      </w:r>
      <w:r w:rsidR="00BD504A">
        <w:rPr>
          <w:lang w:val="en-US"/>
        </w:rPr>
        <w:t>half of the specified granularity value.</w:t>
      </w:r>
    </w:p>
    <w:p w14:paraId="5A052D93" w14:textId="78F50BD1" w:rsidR="0009774C" w:rsidRDefault="00D05C04" w:rsidP="0009774C">
      <w:pPr>
        <w:rPr>
          <w:lang w:val="en-US"/>
        </w:rPr>
      </w:pPr>
      <w:r>
        <w:rPr>
          <w:lang w:val="en-US"/>
        </w:rPr>
        <w:t xml:space="preserve">Additionally, </w:t>
      </w:r>
      <w:r w:rsidR="00E60ED3">
        <w:rPr>
          <w:lang w:val="en-US"/>
        </w:rPr>
        <w:fldChar w:fldCharType="begin"/>
      </w:r>
      <w:r w:rsidR="00E60ED3">
        <w:rPr>
          <w:lang w:val="en-US"/>
        </w:rPr>
        <w:instrText xml:space="preserve"> REF _Ref510007790 \r \h </w:instrText>
      </w:r>
      <w:r w:rsidR="00E60ED3">
        <w:rPr>
          <w:lang w:val="en-US"/>
        </w:rPr>
      </w:r>
      <w:r w:rsidR="00E60ED3">
        <w:rPr>
          <w:lang w:val="en-US"/>
        </w:rPr>
        <w:fldChar w:fldCharType="separate"/>
      </w:r>
      <w:r w:rsidR="00E60ED3">
        <w:rPr>
          <w:lang w:val="en-US"/>
        </w:rPr>
        <w:t>[4]</w:t>
      </w:r>
      <w:r w:rsidR="00E60ED3">
        <w:rPr>
          <w:lang w:val="en-US"/>
        </w:rPr>
        <w:fldChar w:fldCharType="end"/>
      </w:r>
      <w:r w:rsidR="00E60ED3">
        <w:rPr>
          <w:lang w:val="en-US"/>
        </w:rPr>
        <w:t xml:space="preserve"> </w:t>
      </w:r>
      <w:r>
        <w:rPr>
          <w:lang w:val="en-US"/>
        </w:rPr>
        <w:t xml:space="preserve">specifies requirements for the TX timing error </w:t>
      </w:r>
      <w:r w:rsidR="00E750D8">
        <w:rPr>
          <w:lang w:val="en-US"/>
        </w:rPr>
        <w:t>(T</w:t>
      </w:r>
      <w:r w:rsidR="00E750D8" w:rsidRPr="00216B2E">
        <w:rPr>
          <w:sz w:val="24"/>
          <w:vertAlign w:val="subscript"/>
          <w:lang w:val="en-US"/>
        </w:rPr>
        <w:t>e</w:t>
      </w:r>
      <w:r w:rsidR="00E750D8">
        <w:rPr>
          <w:lang w:val="en-US"/>
        </w:rPr>
        <w:t xml:space="preserve">) </w:t>
      </w:r>
      <w:r>
        <w:rPr>
          <w:lang w:val="en-US"/>
        </w:rPr>
        <w:t xml:space="preserve">and TA adjustment accuracy. </w:t>
      </w:r>
      <w:r w:rsidR="00E750D8">
        <w:rPr>
          <w:lang w:val="en-US"/>
        </w:rPr>
        <w:t>The values of T</w:t>
      </w:r>
      <w:r w:rsidR="00E750D8" w:rsidRPr="00B76334">
        <w:rPr>
          <w:sz w:val="24"/>
          <w:vertAlign w:val="subscript"/>
          <w:lang w:val="en-US"/>
        </w:rPr>
        <w:t>e</w:t>
      </w:r>
      <w:r w:rsidR="00E750D8">
        <w:rPr>
          <w:lang w:val="en-US"/>
        </w:rPr>
        <w:t xml:space="preserve"> depend </w:t>
      </w:r>
      <w:r w:rsidR="003E473F">
        <w:rPr>
          <w:lang w:val="en-US"/>
        </w:rPr>
        <w:t>not only on the SCS but also</w:t>
      </w:r>
      <w:r w:rsidR="00525C15">
        <w:rPr>
          <w:lang w:val="en-US"/>
        </w:rPr>
        <w:t xml:space="preserve"> on</w:t>
      </w:r>
      <w:r w:rsidR="003E473F">
        <w:rPr>
          <w:lang w:val="en-US"/>
        </w:rPr>
        <w:t xml:space="preserve"> the frequency range according to Table 2 below:</w:t>
      </w:r>
    </w:p>
    <w:p w14:paraId="4F055F76" w14:textId="1C82CB9C" w:rsidR="003E473F" w:rsidRDefault="003E473F" w:rsidP="00216B2E">
      <w:pPr>
        <w:jc w:val="center"/>
        <w:rPr>
          <w:lang w:val="en-US"/>
        </w:rPr>
      </w:pPr>
      <w:r>
        <w:rPr>
          <w:lang w:val="en-US"/>
        </w:rPr>
        <w:t>Table 2. TX timing error limits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3E473F" w14:paraId="13044C91" w14:textId="77777777" w:rsidTr="00216B2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3424B3E" w14:textId="77777777" w:rsidR="003E473F" w:rsidRDefault="003E473F">
            <w:pPr>
              <w:pStyle w:val="TAH"/>
              <w:rPr>
                <w:rFonts w:cs="Arial"/>
                <w:lang w:eastAsia="zh-CN"/>
              </w:rPr>
            </w:pPr>
            <w:r>
              <w:rPr>
                <w:rFonts w:cs="Arial"/>
                <w:lang w:eastAsia="zh-CN"/>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14D3403" w14:textId="77777777" w:rsidR="003E473F" w:rsidRDefault="003E473F">
            <w:pPr>
              <w:pStyle w:val="TAH"/>
              <w:rPr>
                <w:rFonts w:eastAsia="Times New Roman" w:cs="Arial"/>
              </w:rPr>
            </w:pPr>
            <w:r>
              <w:rPr>
                <w:rFonts w:cs="Arial"/>
                <w:lang w:eastAsia="zh-CN"/>
              </w:rPr>
              <w:t>SCS</w:t>
            </w:r>
            <w:r>
              <w:rPr>
                <w:rFonts w:cs="Arial"/>
              </w:rPr>
              <w:t xml:space="preserve"> </w:t>
            </w:r>
            <w:r>
              <w:rPr>
                <w:rFonts w:cs="Arial"/>
                <w:lang w:eastAsia="zh-CN"/>
              </w:rPr>
              <w:t>of</w:t>
            </w:r>
            <w:r>
              <w:rPr>
                <w:rFonts w:cs="Arial"/>
              </w:rPr>
              <w:t xml:space="preserve"> </w:t>
            </w:r>
            <w:r>
              <w:rPr>
                <w:rFonts w:cs="Arial"/>
                <w:lang w:eastAsia="zh-CN"/>
              </w:rPr>
              <w:t xml:space="preserve">SSB signals </w:t>
            </w:r>
            <w:r>
              <w:rPr>
                <w:rFonts w:cs="Arial"/>
              </w:rPr>
              <w:t>(KHz)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9D10A32" w14:textId="77777777" w:rsidR="003E473F" w:rsidRDefault="003E473F">
            <w:pPr>
              <w:pStyle w:val="TAH"/>
              <w:rPr>
                <w:rFonts w:cs="Arial"/>
              </w:rPr>
            </w:pPr>
            <w:r>
              <w:rPr>
                <w:rFonts w:cs="Arial"/>
                <w:lang w:eastAsia="zh-CN"/>
              </w:rPr>
              <w:t>SCS of</w:t>
            </w:r>
            <w:r>
              <w:rPr>
                <w:rFonts w:cs="Arial"/>
              </w:rPr>
              <w:t xml:space="preserve"> uplink</w:t>
            </w:r>
            <w:r>
              <w:rPr>
                <w:rFonts w:cs="Arial"/>
                <w:lang w:eastAsia="zh-CN"/>
              </w:rPr>
              <w:t xml:space="preserve"> signals s</w:t>
            </w:r>
            <w:r>
              <w:rPr>
                <w:rFonts w:cs="Arial"/>
              </w:rPr>
              <w:t>(KHz)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380E5FF" w14:textId="77777777" w:rsidR="003E473F" w:rsidRDefault="003E473F">
            <w:pPr>
              <w:pStyle w:val="TAH"/>
              <w:rPr>
                <w:rFonts w:cs="Arial"/>
              </w:rPr>
            </w:pPr>
            <w:r>
              <w:rPr>
                <w:rFonts w:cs="Arial"/>
              </w:rPr>
              <w:t>T</w:t>
            </w:r>
            <w:r>
              <w:rPr>
                <w:rFonts w:cs="Arial"/>
                <w:vertAlign w:val="subscript"/>
              </w:rPr>
              <w:t>e</w:t>
            </w:r>
          </w:p>
        </w:tc>
      </w:tr>
      <w:tr w:rsidR="003E473F" w14:paraId="6E6CD91A" w14:textId="77777777" w:rsidTr="00216B2E">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26FA23DB" w14:textId="77777777" w:rsidR="003E473F" w:rsidRDefault="003E473F">
            <w:pPr>
              <w:pStyle w:val="TAC"/>
              <w:rPr>
                <w:rFonts w:cs="Arial"/>
                <w:lang w:eastAsia="zh-CN"/>
              </w:rPr>
            </w:pPr>
            <w:r>
              <w:rPr>
                <w:rFonts w:cs="Arial"/>
                <w:lang w:eastAsia="zh-CN"/>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653E3F7B" w14:textId="77777777" w:rsidR="003E473F" w:rsidRDefault="003E473F">
            <w:pPr>
              <w:pStyle w:val="TAC"/>
              <w:rPr>
                <w:rFonts w:eastAsia="Times New Roman" w:cs="Arial"/>
              </w:rPr>
            </w:pPr>
            <w:r>
              <w:rPr>
                <w:rFonts w:cs="Arial"/>
                <w:lang w:eastAsia="zh-CN"/>
              </w:rPr>
              <w:t>15</w:t>
            </w:r>
          </w:p>
        </w:tc>
        <w:tc>
          <w:tcPr>
            <w:tcW w:w="1245" w:type="pct"/>
            <w:tcBorders>
              <w:top w:val="single" w:sz="4" w:space="0" w:color="auto"/>
              <w:left w:val="single" w:sz="4" w:space="0" w:color="auto"/>
              <w:bottom w:val="single" w:sz="4" w:space="0" w:color="auto"/>
              <w:right w:val="single" w:sz="4" w:space="0" w:color="auto"/>
            </w:tcBorders>
            <w:hideMark/>
          </w:tcPr>
          <w:p w14:paraId="201630FF" w14:textId="77777777" w:rsidR="003E473F" w:rsidRDefault="003E473F">
            <w:pPr>
              <w:pStyle w:val="TAC"/>
              <w:rPr>
                <w:rFonts w:cs="Arial"/>
                <w:lang w:eastAsia="zh-CN"/>
              </w:rPr>
            </w:pPr>
            <w:r>
              <w:rPr>
                <w:rFonts w:cs="Arial"/>
                <w:lang w:eastAsia="zh-CN"/>
              </w:rPr>
              <w:t>15</w:t>
            </w:r>
          </w:p>
        </w:tc>
        <w:tc>
          <w:tcPr>
            <w:tcW w:w="1478" w:type="pct"/>
            <w:tcBorders>
              <w:top w:val="single" w:sz="4" w:space="0" w:color="auto"/>
              <w:left w:val="single" w:sz="4" w:space="0" w:color="auto"/>
              <w:bottom w:val="single" w:sz="4" w:space="0" w:color="auto"/>
              <w:right w:val="single" w:sz="4" w:space="0" w:color="auto"/>
            </w:tcBorders>
            <w:hideMark/>
          </w:tcPr>
          <w:p w14:paraId="0E625BEA" w14:textId="77777777" w:rsidR="003E473F" w:rsidRDefault="003E473F">
            <w:pPr>
              <w:pStyle w:val="TAC"/>
              <w:rPr>
                <w:rFonts w:cs="Arial"/>
                <w:lang w:eastAsia="zh-CN"/>
              </w:rPr>
            </w:pPr>
            <w:r>
              <w:rPr>
                <w:rFonts w:cs="Arial"/>
                <w:lang w:eastAsia="zh-CN"/>
              </w:rPr>
              <w:t>[12]</w:t>
            </w:r>
            <w:r>
              <w:rPr>
                <w:rFonts w:cs="Arial"/>
              </w:rPr>
              <w:t>*</w:t>
            </w:r>
            <w:r>
              <w:rPr>
                <w:rFonts w:cs="Arial"/>
                <w:lang w:eastAsia="zh-CN"/>
              </w:rPr>
              <w:t>64</w:t>
            </w:r>
            <w:r>
              <w:rPr>
                <w:rFonts w:cs="Arial"/>
              </w:rPr>
              <w:t>*T</w:t>
            </w:r>
            <w:r>
              <w:rPr>
                <w:rFonts w:cs="Arial"/>
                <w:vertAlign w:val="subscript"/>
              </w:rPr>
              <w:t>c</w:t>
            </w:r>
          </w:p>
        </w:tc>
      </w:tr>
      <w:tr w:rsidR="003E473F" w14:paraId="76F4B8FC"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1A405"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2B1B" w14:textId="77777777" w:rsidR="003E473F" w:rsidRDefault="003E473F">
            <w:pPr>
              <w:spacing w:after="0"/>
              <w:rPr>
                <w:rFonts w:ascii="Arial" w:hAnsi="Arial" w:cs="Arial"/>
                <w:sz w:val="18"/>
              </w:rPr>
            </w:pPr>
          </w:p>
        </w:tc>
        <w:tc>
          <w:tcPr>
            <w:tcW w:w="1245" w:type="pct"/>
            <w:tcBorders>
              <w:top w:val="single" w:sz="4" w:space="0" w:color="auto"/>
              <w:left w:val="single" w:sz="4" w:space="0" w:color="auto"/>
              <w:bottom w:val="single" w:sz="4" w:space="0" w:color="auto"/>
              <w:right w:val="single" w:sz="4" w:space="0" w:color="auto"/>
            </w:tcBorders>
            <w:hideMark/>
          </w:tcPr>
          <w:p w14:paraId="1A189C1A" w14:textId="77777777" w:rsidR="003E473F" w:rsidRDefault="003E473F">
            <w:pPr>
              <w:pStyle w:val="TAC"/>
              <w:rPr>
                <w:rFonts w:cs="Arial"/>
                <w:lang w:eastAsia="zh-CN"/>
              </w:rPr>
            </w:pPr>
            <w:r>
              <w:rPr>
                <w:rFonts w:cs="Arial"/>
                <w:lang w:eastAsia="zh-CN"/>
              </w:rPr>
              <w:t>30</w:t>
            </w:r>
          </w:p>
        </w:tc>
        <w:tc>
          <w:tcPr>
            <w:tcW w:w="1478" w:type="pct"/>
            <w:tcBorders>
              <w:top w:val="single" w:sz="4" w:space="0" w:color="auto"/>
              <w:left w:val="single" w:sz="4" w:space="0" w:color="auto"/>
              <w:bottom w:val="single" w:sz="4" w:space="0" w:color="auto"/>
              <w:right w:val="single" w:sz="4" w:space="0" w:color="auto"/>
            </w:tcBorders>
            <w:hideMark/>
          </w:tcPr>
          <w:p w14:paraId="3D295D7F" w14:textId="77777777" w:rsidR="003E473F" w:rsidRDefault="003E473F">
            <w:pPr>
              <w:pStyle w:val="TAC"/>
              <w:rPr>
                <w:rFonts w:eastAsia="Times New Roman" w:cs="Arial"/>
              </w:rPr>
            </w:pPr>
            <w:r>
              <w:rPr>
                <w:rFonts w:cs="Arial"/>
                <w:lang w:eastAsia="zh-CN"/>
              </w:rPr>
              <w:t>[10]</w:t>
            </w:r>
            <w:r>
              <w:rPr>
                <w:rFonts w:cs="Arial"/>
              </w:rPr>
              <w:t>*</w:t>
            </w:r>
            <w:r>
              <w:rPr>
                <w:rFonts w:cs="Arial"/>
                <w:lang w:eastAsia="zh-CN"/>
              </w:rPr>
              <w:t>64</w:t>
            </w:r>
            <w:r>
              <w:rPr>
                <w:rFonts w:cs="Arial"/>
              </w:rPr>
              <w:t>*T</w:t>
            </w:r>
            <w:r>
              <w:rPr>
                <w:rFonts w:cs="Arial"/>
                <w:vertAlign w:val="subscript"/>
              </w:rPr>
              <w:t>c</w:t>
            </w:r>
          </w:p>
        </w:tc>
      </w:tr>
      <w:tr w:rsidR="003E473F" w14:paraId="41590628"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9924F"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B6CA" w14:textId="77777777" w:rsidR="003E473F" w:rsidRDefault="003E473F">
            <w:pPr>
              <w:spacing w:after="0"/>
              <w:rPr>
                <w:rFonts w:ascii="Arial" w:hAnsi="Arial" w:cs="Arial"/>
                <w:sz w:val="18"/>
              </w:rPr>
            </w:pPr>
          </w:p>
        </w:tc>
        <w:tc>
          <w:tcPr>
            <w:tcW w:w="1245" w:type="pct"/>
            <w:tcBorders>
              <w:top w:val="single" w:sz="4" w:space="0" w:color="auto"/>
              <w:left w:val="single" w:sz="4" w:space="0" w:color="auto"/>
              <w:bottom w:val="single" w:sz="4" w:space="0" w:color="auto"/>
              <w:right w:val="single" w:sz="4" w:space="0" w:color="auto"/>
            </w:tcBorders>
            <w:hideMark/>
          </w:tcPr>
          <w:p w14:paraId="5B575845" w14:textId="77777777" w:rsidR="003E473F" w:rsidRDefault="003E473F">
            <w:pPr>
              <w:pStyle w:val="TAC"/>
              <w:rPr>
                <w:rFonts w:cs="Arial"/>
                <w:lang w:eastAsia="zh-CN"/>
              </w:rPr>
            </w:pPr>
            <w:r>
              <w:rPr>
                <w:rFonts w:cs="Arial"/>
                <w:lang w:eastAsia="zh-CN"/>
              </w:rPr>
              <w:t>60</w:t>
            </w:r>
          </w:p>
        </w:tc>
        <w:tc>
          <w:tcPr>
            <w:tcW w:w="1478" w:type="pct"/>
            <w:tcBorders>
              <w:top w:val="single" w:sz="4" w:space="0" w:color="auto"/>
              <w:left w:val="single" w:sz="4" w:space="0" w:color="auto"/>
              <w:bottom w:val="single" w:sz="4" w:space="0" w:color="auto"/>
              <w:right w:val="single" w:sz="4" w:space="0" w:color="auto"/>
            </w:tcBorders>
            <w:hideMark/>
          </w:tcPr>
          <w:p w14:paraId="40E236B1" w14:textId="77777777" w:rsidR="003E473F" w:rsidRDefault="003E473F">
            <w:pPr>
              <w:pStyle w:val="TAC"/>
              <w:rPr>
                <w:rFonts w:eastAsia="Times New Roman" w:cs="Arial"/>
              </w:rPr>
            </w:pPr>
            <w:r>
              <w:rPr>
                <w:rFonts w:cs="Arial"/>
                <w:lang w:eastAsia="zh-CN"/>
              </w:rPr>
              <w:t>[10]</w:t>
            </w:r>
            <w:r>
              <w:rPr>
                <w:rFonts w:cs="Arial"/>
              </w:rPr>
              <w:t>*</w:t>
            </w:r>
            <w:r>
              <w:rPr>
                <w:rFonts w:cs="Arial"/>
                <w:lang w:eastAsia="zh-CN"/>
              </w:rPr>
              <w:t>64</w:t>
            </w:r>
            <w:r>
              <w:rPr>
                <w:rFonts w:cs="Arial"/>
              </w:rPr>
              <w:t>*T</w:t>
            </w:r>
            <w:r>
              <w:rPr>
                <w:rFonts w:cs="Arial"/>
                <w:vertAlign w:val="subscript"/>
              </w:rPr>
              <w:t>c</w:t>
            </w:r>
          </w:p>
        </w:tc>
      </w:tr>
      <w:tr w:rsidR="003E473F" w14:paraId="5A97A352"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E0EEA" w14:textId="77777777" w:rsidR="003E473F" w:rsidRDefault="003E473F">
            <w:pPr>
              <w:spacing w:after="0"/>
              <w:rPr>
                <w:rFonts w:ascii="Arial" w:hAnsi="Arial" w:cs="Arial"/>
                <w:sz w:val="18"/>
                <w:lang w:eastAsia="zh-CN"/>
              </w:rPr>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409EED71" w14:textId="77777777" w:rsidR="003E473F" w:rsidRDefault="003E473F">
            <w:pPr>
              <w:pStyle w:val="TAC"/>
              <w:rPr>
                <w:rFonts w:cs="Arial"/>
                <w:lang w:eastAsia="zh-CN"/>
              </w:rPr>
            </w:pPr>
            <w:r>
              <w:rPr>
                <w:rFonts w:cs="Arial"/>
                <w:lang w:eastAsia="zh-CN"/>
              </w:rPr>
              <w:t>30</w:t>
            </w:r>
          </w:p>
        </w:tc>
        <w:tc>
          <w:tcPr>
            <w:tcW w:w="1245" w:type="pct"/>
            <w:tcBorders>
              <w:top w:val="single" w:sz="4" w:space="0" w:color="auto"/>
              <w:left w:val="single" w:sz="4" w:space="0" w:color="auto"/>
              <w:bottom w:val="single" w:sz="4" w:space="0" w:color="auto"/>
              <w:right w:val="single" w:sz="4" w:space="0" w:color="auto"/>
            </w:tcBorders>
            <w:hideMark/>
          </w:tcPr>
          <w:p w14:paraId="2C07D800" w14:textId="77777777" w:rsidR="003E473F" w:rsidRDefault="003E473F">
            <w:pPr>
              <w:pStyle w:val="TAC"/>
              <w:rPr>
                <w:rFonts w:cs="Arial"/>
                <w:lang w:eastAsia="zh-CN"/>
              </w:rPr>
            </w:pPr>
            <w:r>
              <w:rPr>
                <w:rFonts w:cs="Arial"/>
                <w:lang w:eastAsia="zh-CN"/>
              </w:rPr>
              <w:t>15</w:t>
            </w:r>
          </w:p>
        </w:tc>
        <w:tc>
          <w:tcPr>
            <w:tcW w:w="1478" w:type="pct"/>
            <w:tcBorders>
              <w:top w:val="single" w:sz="4" w:space="0" w:color="auto"/>
              <w:left w:val="single" w:sz="4" w:space="0" w:color="auto"/>
              <w:bottom w:val="single" w:sz="4" w:space="0" w:color="auto"/>
              <w:right w:val="single" w:sz="4" w:space="0" w:color="auto"/>
            </w:tcBorders>
            <w:hideMark/>
          </w:tcPr>
          <w:p w14:paraId="43F64A92" w14:textId="77777777" w:rsidR="003E473F" w:rsidRDefault="003E473F">
            <w:pPr>
              <w:pStyle w:val="TAC"/>
              <w:rPr>
                <w:rFonts w:eastAsia="Times New Roman" w:cs="Arial"/>
              </w:rPr>
            </w:pPr>
            <w:r>
              <w:rPr>
                <w:rFonts w:cs="Arial"/>
                <w:lang w:eastAsia="zh-CN"/>
              </w:rPr>
              <w:t>[8]</w:t>
            </w:r>
            <w:r>
              <w:rPr>
                <w:rFonts w:cs="Arial"/>
              </w:rPr>
              <w:t>*</w:t>
            </w:r>
            <w:r>
              <w:rPr>
                <w:rFonts w:cs="Arial"/>
                <w:lang w:eastAsia="zh-CN"/>
              </w:rPr>
              <w:t>64</w:t>
            </w:r>
            <w:r>
              <w:rPr>
                <w:rFonts w:cs="Arial"/>
              </w:rPr>
              <w:t>*T</w:t>
            </w:r>
            <w:r>
              <w:rPr>
                <w:rFonts w:cs="Arial"/>
                <w:vertAlign w:val="subscript"/>
              </w:rPr>
              <w:t>c</w:t>
            </w:r>
          </w:p>
        </w:tc>
      </w:tr>
      <w:tr w:rsidR="003E473F" w14:paraId="2735E743"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16A4B"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76921" w14:textId="77777777" w:rsidR="003E473F" w:rsidRDefault="003E473F">
            <w:pPr>
              <w:spacing w:after="0"/>
              <w:rPr>
                <w:rFonts w:ascii="Arial" w:hAnsi="Arial" w:cs="Arial"/>
                <w:sz w:val="18"/>
                <w:lang w:eastAsia="zh-CN"/>
              </w:rPr>
            </w:pPr>
          </w:p>
        </w:tc>
        <w:tc>
          <w:tcPr>
            <w:tcW w:w="1245" w:type="pct"/>
            <w:tcBorders>
              <w:top w:val="single" w:sz="4" w:space="0" w:color="auto"/>
              <w:left w:val="single" w:sz="4" w:space="0" w:color="auto"/>
              <w:bottom w:val="single" w:sz="4" w:space="0" w:color="auto"/>
              <w:right w:val="single" w:sz="4" w:space="0" w:color="auto"/>
            </w:tcBorders>
            <w:hideMark/>
          </w:tcPr>
          <w:p w14:paraId="02C90570" w14:textId="77777777" w:rsidR="003E473F" w:rsidRDefault="003E473F">
            <w:pPr>
              <w:pStyle w:val="TAC"/>
              <w:rPr>
                <w:rFonts w:cs="Arial"/>
                <w:lang w:eastAsia="zh-CN"/>
              </w:rPr>
            </w:pPr>
            <w:r>
              <w:rPr>
                <w:rFonts w:cs="Arial"/>
                <w:lang w:eastAsia="zh-CN"/>
              </w:rPr>
              <w:t>30</w:t>
            </w:r>
          </w:p>
        </w:tc>
        <w:tc>
          <w:tcPr>
            <w:tcW w:w="1478" w:type="pct"/>
            <w:tcBorders>
              <w:top w:val="single" w:sz="4" w:space="0" w:color="auto"/>
              <w:left w:val="single" w:sz="4" w:space="0" w:color="auto"/>
              <w:bottom w:val="single" w:sz="4" w:space="0" w:color="auto"/>
              <w:right w:val="single" w:sz="4" w:space="0" w:color="auto"/>
            </w:tcBorders>
            <w:hideMark/>
          </w:tcPr>
          <w:p w14:paraId="74E2431F" w14:textId="77777777" w:rsidR="003E473F" w:rsidRDefault="003E473F">
            <w:pPr>
              <w:pStyle w:val="TAC"/>
              <w:rPr>
                <w:rFonts w:eastAsia="Times New Roman" w:cs="Arial"/>
              </w:rPr>
            </w:pPr>
            <w:r>
              <w:rPr>
                <w:rFonts w:cs="Arial"/>
                <w:lang w:eastAsia="zh-CN"/>
              </w:rPr>
              <w:t>[8]</w:t>
            </w:r>
            <w:r>
              <w:rPr>
                <w:rFonts w:cs="Arial"/>
              </w:rPr>
              <w:t>*</w:t>
            </w:r>
            <w:r>
              <w:rPr>
                <w:rFonts w:cs="Arial"/>
                <w:lang w:eastAsia="zh-CN"/>
              </w:rPr>
              <w:t>64</w:t>
            </w:r>
            <w:r>
              <w:rPr>
                <w:rFonts w:cs="Arial"/>
              </w:rPr>
              <w:t>*T</w:t>
            </w:r>
            <w:r>
              <w:rPr>
                <w:rFonts w:cs="Arial"/>
                <w:vertAlign w:val="subscript"/>
              </w:rPr>
              <w:t>c</w:t>
            </w:r>
          </w:p>
        </w:tc>
      </w:tr>
      <w:tr w:rsidR="003E473F" w14:paraId="10173A4E"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5CE94"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2EA6B" w14:textId="77777777" w:rsidR="003E473F" w:rsidRDefault="003E473F">
            <w:pPr>
              <w:spacing w:after="0"/>
              <w:rPr>
                <w:rFonts w:ascii="Arial" w:hAnsi="Arial" w:cs="Arial"/>
                <w:sz w:val="18"/>
                <w:lang w:eastAsia="zh-CN"/>
              </w:rPr>
            </w:pPr>
          </w:p>
        </w:tc>
        <w:tc>
          <w:tcPr>
            <w:tcW w:w="1245" w:type="pct"/>
            <w:tcBorders>
              <w:top w:val="single" w:sz="4" w:space="0" w:color="auto"/>
              <w:left w:val="single" w:sz="4" w:space="0" w:color="auto"/>
              <w:bottom w:val="single" w:sz="4" w:space="0" w:color="auto"/>
              <w:right w:val="single" w:sz="4" w:space="0" w:color="auto"/>
            </w:tcBorders>
            <w:hideMark/>
          </w:tcPr>
          <w:p w14:paraId="78E7DEDD" w14:textId="77777777" w:rsidR="003E473F" w:rsidRDefault="003E473F">
            <w:pPr>
              <w:pStyle w:val="TAC"/>
              <w:rPr>
                <w:rFonts w:cs="Arial"/>
                <w:lang w:eastAsia="zh-CN"/>
              </w:rPr>
            </w:pPr>
            <w:r>
              <w:rPr>
                <w:rFonts w:cs="Arial"/>
                <w:lang w:eastAsia="zh-CN"/>
              </w:rPr>
              <w:t>60</w:t>
            </w:r>
          </w:p>
        </w:tc>
        <w:tc>
          <w:tcPr>
            <w:tcW w:w="1478" w:type="pct"/>
            <w:tcBorders>
              <w:top w:val="single" w:sz="4" w:space="0" w:color="auto"/>
              <w:left w:val="single" w:sz="4" w:space="0" w:color="auto"/>
              <w:bottom w:val="single" w:sz="4" w:space="0" w:color="auto"/>
              <w:right w:val="single" w:sz="4" w:space="0" w:color="auto"/>
            </w:tcBorders>
            <w:hideMark/>
          </w:tcPr>
          <w:p w14:paraId="725DB5E0" w14:textId="77777777" w:rsidR="003E473F" w:rsidRDefault="003E473F">
            <w:pPr>
              <w:pStyle w:val="TAC"/>
              <w:rPr>
                <w:rFonts w:eastAsia="Times New Roman" w:cs="Arial"/>
              </w:rPr>
            </w:pPr>
            <w:r>
              <w:rPr>
                <w:rFonts w:cs="Arial"/>
                <w:lang w:eastAsia="zh-CN"/>
              </w:rPr>
              <w:t>[7]</w:t>
            </w:r>
            <w:r>
              <w:rPr>
                <w:rFonts w:cs="Arial"/>
              </w:rPr>
              <w:t>*</w:t>
            </w:r>
            <w:r>
              <w:rPr>
                <w:rFonts w:cs="Arial"/>
                <w:lang w:eastAsia="zh-CN"/>
              </w:rPr>
              <w:t>64</w:t>
            </w:r>
            <w:r>
              <w:rPr>
                <w:rFonts w:cs="Arial"/>
              </w:rPr>
              <w:t>*T</w:t>
            </w:r>
            <w:r>
              <w:rPr>
                <w:rFonts w:cs="Arial"/>
                <w:vertAlign w:val="subscript"/>
              </w:rPr>
              <w:t>c</w:t>
            </w:r>
          </w:p>
        </w:tc>
      </w:tr>
      <w:tr w:rsidR="003E473F" w14:paraId="7D6441B3" w14:textId="77777777" w:rsidTr="00216B2E">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66247369" w14:textId="77777777" w:rsidR="003E473F" w:rsidRDefault="003E473F">
            <w:pPr>
              <w:pStyle w:val="TAC"/>
              <w:rPr>
                <w:rFonts w:cs="Arial"/>
                <w:lang w:eastAsia="zh-CN"/>
              </w:rPr>
            </w:pPr>
            <w:r>
              <w:rPr>
                <w:rFonts w:cs="Arial"/>
                <w:lang w:eastAsia="zh-CN"/>
              </w:rPr>
              <w:t>2</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1F6C8260" w14:textId="77777777" w:rsidR="003E473F" w:rsidRDefault="003E473F">
            <w:pPr>
              <w:pStyle w:val="TAC"/>
              <w:rPr>
                <w:rFonts w:cs="Arial"/>
                <w:lang w:eastAsia="zh-CN"/>
              </w:rPr>
            </w:pPr>
            <w:r>
              <w:rPr>
                <w:rFonts w:cs="Arial"/>
                <w:lang w:eastAsia="zh-CN"/>
              </w:rPr>
              <w:t>120</w:t>
            </w:r>
          </w:p>
        </w:tc>
        <w:tc>
          <w:tcPr>
            <w:tcW w:w="1245" w:type="pct"/>
            <w:tcBorders>
              <w:top w:val="single" w:sz="4" w:space="0" w:color="auto"/>
              <w:left w:val="single" w:sz="4" w:space="0" w:color="auto"/>
              <w:bottom w:val="single" w:sz="4" w:space="0" w:color="auto"/>
              <w:right w:val="single" w:sz="4" w:space="0" w:color="auto"/>
            </w:tcBorders>
            <w:hideMark/>
          </w:tcPr>
          <w:p w14:paraId="20D260B0" w14:textId="77777777" w:rsidR="003E473F" w:rsidRDefault="003E473F">
            <w:pPr>
              <w:pStyle w:val="TAC"/>
              <w:rPr>
                <w:rFonts w:eastAsia="Times New Roman" w:cs="Arial"/>
              </w:rPr>
            </w:pPr>
            <w:r>
              <w:rPr>
                <w:rFonts w:cs="Arial"/>
                <w:lang w:eastAsia="zh-CN"/>
              </w:rPr>
              <w:t>60</w:t>
            </w:r>
          </w:p>
        </w:tc>
        <w:tc>
          <w:tcPr>
            <w:tcW w:w="1478" w:type="pct"/>
            <w:tcBorders>
              <w:top w:val="single" w:sz="4" w:space="0" w:color="auto"/>
              <w:left w:val="single" w:sz="4" w:space="0" w:color="auto"/>
              <w:bottom w:val="single" w:sz="4" w:space="0" w:color="auto"/>
              <w:right w:val="single" w:sz="4" w:space="0" w:color="auto"/>
            </w:tcBorders>
            <w:hideMark/>
          </w:tcPr>
          <w:p w14:paraId="41D4022D" w14:textId="77777777" w:rsidR="003E473F" w:rsidRDefault="003E473F">
            <w:pPr>
              <w:pStyle w:val="TAC"/>
              <w:rPr>
                <w:rFonts w:cs="Arial"/>
              </w:rPr>
            </w:pPr>
            <w:r>
              <w:rPr>
                <w:rFonts w:cs="Arial"/>
                <w:lang w:eastAsia="zh-CN"/>
              </w:rPr>
              <w:t>[3.5]</w:t>
            </w:r>
            <w:r>
              <w:rPr>
                <w:rFonts w:cs="Arial"/>
              </w:rPr>
              <w:t>*</w:t>
            </w:r>
            <w:r>
              <w:rPr>
                <w:rFonts w:cs="Arial"/>
                <w:lang w:eastAsia="zh-CN"/>
              </w:rPr>
              <w:t>64</w:t>
            </w:r>
            <w:r>
              <w:rPr>
                <w:rFonts w:cs="Arial"/>
              </w:rPr>
              <w:t>*T</w:t>
            </w:r>
            <w:r>
              <w:rPr>
                <w:rFonts w:cs="Arial"/>
                <w:vertAlign w:val="subscript"/>
              </w:rPr>
              <w:t>c</w:t>
            </w:r>
          </w:p>
        </w:tc>
      </w:tr>
      <w:tr w:rsidR="003E473F" w14:paraId="7AEE6C6D"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96991"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384C4" w14:textId="77777777" w:rsidR="003E473F" w:rsidRDefault="003E473F">
            <w:pPr>
              <w:spacing w:after="0"/>
              <w:rPr>
                <w:rFonts w:ascii="Arial" w:hAnsi="Arial" w:cs="Arial"/>
                <w:sz w:val="18"/>
                <w:lang w:eastAsia="zh-CN"/>
              </w:rPr>
            </w:pPr>
          </w:p>
        </w:tc>
        <w:tc>
          <w:tcPr>
            <w:tcW w:w="1245" w:type="pct"/>
            <w:tcBorders>
              <w:top w:val="single" w:sz="4" w:space="0" w:color="auto"/>
              <w:left w:val="single" w:sz="4" w:space="0" w:color="auto"/>
              <w:bottom w:val="single" w:sz="4" w:space="0" w:color="auto"/>
              <w:right w:val="single" w:sz="4" w:space="0" w:color="auto"/>
            </w:tcBorders>
            <w:hideMark/>
          </w:tcPr>
          <w:p w14:paraId="515929AB" w14:textId="77777777" w:rsidR="003E473F" w:rsidRDefault="003E473F">
            <w:pPr>
              <w:pStyle w:val="TAC"/>
              <w:rPr>
                <w:rFonts w:cs="Arial"/>
                <w:lang w:eastAsia="zh-CN"/>
              </w:rPr>
            </w:pPr>
            <w:r>
              <w:rPr>
                <w:rFonts w:cs="Arial"/>
                <w:lang w:eastAsia="zh-CN"/>
              </w:rPr>
              <w:t>120</w:t>
            </w:r>
          </w:p>
        </w:tc>
        <w:tc>
          <w:tcPr>
            <w:tcW w:w="1478" w:type="pct"/>
            <w:tcBorders>
              <w:top w:val="single" w:sz="4" w:space="0" w:color="auto"/>
              <w:left w:val="single" w:sz="4" w:space="0" w:color="auto"/>
              <w:bottom w:val="single" w:sz="4" w:space="0" w:color="auto"/>
              <w:right w:val="single" w:sz="4" w:space="0" w:color="auto"/>
            </w:tcBorders>
            <w:hideMark/>
          </w:tcPr>
          <w:p w14:paraId="64A0767C" w14:textId="77777777" w:rsidR="003E473F" w:rsidRDefault="003E473F">
            <w:pPr>
              <w:pStyle w:val="TAC"/>
              <w:rPr>
                <w:rFonts w:cs="Arial"/>
                <w:lang w:eastAsia="zh-CN"/>
              </w:rPr>
            </w:pPr>
            <w:r>
              <w:rPr>
                <w:rFonts w:cs="Arial"/>
                <w:lang w:eastAsia="zh-CN"/>
              </w:rPr>
              <w:t>[3.5]</w:t>
            </w:r>
            <w:r>
              <w:rPr>
                <w:rFonts w:cs="Arial"/>
              </w:rPr>
              <w:t>*</w:t>
            </w:r>
            <w:r>
              <w:rPr>
                <w:rFonts w:cs="Arial"/>
                <w:lang w:eastAsia="zh-CN"/>
              </w:rPr>
              <w:t>64</w:t>
            </w:r>
            <w:r>
              <w:rPr>
                <w:rFonts w:cs="Arial"/>
              </w:rPr>
              <w:t>*T</w:t>
            </w:r>
            <w:r>
              <w:rPr>
                <w:rFonts w:cs="Arial"/>
                <w:vertAlign w:val="subscript"/>
              </w:rPr>
              <w:t>c</w:t>
            </w:r>
          </w:p>
        </w:tc>
      </w:tr>
      <w:tr w:rsidR="003E473F" w14:paraId="2537EEB7"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29BB1" w14:textId="77777777" w:rsidR="003E473F" w:rsidRDefault="003E473F">
            <w:pPr>
              <w:spacing w:after="0"/>
              <w:rPr>
                <w:rFonts w:ascii="Arial" w:hAnsi="Arial" w:cs="Arial"/>
                <w:sz w:val="18"/>
                <w:lang w:eastAsia="zh-CN"/>
              </w:rPr>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6FDBA625" w14:textId="77777777" w:rsidR="003E473F" w:rsidRDefault="003E473F">
            <w:pPr>
              <w:pStyle w:val="TAC"/>
              <w:rPr>
                <w:rFonts w:cs="Arial"/>
                <w:lang w:eastAsia="zh-CN"/>
              </w:rPr>
            </w:pPr>
            <w:r>
              <w:rPr>
                <w:rFonts w:cs="Arial"/>
                <w:lang w:eastAsia="zh-CN"/>
              </w:rPr>
              <w:t>240</w:t>
            </w:r>
          </w:p>
        </w:tc>
        <w:tc>
          <w:tcPr>
            <w:tcW w:w="1245" w:type="pct"/>
            <w:tcBorders>
              <w:top w:val="single" w:sz="4" w:space="0" w:color="auto"/>
              <w:left w:val="single" w:sz="4" w:space="0" w:color="auto"/>
              <w:bottom w:val="single" w:sz="4" w:space="0" w:color="auto"/>
              <w:right w:val="single" w:sz="4" w:space="0" w:color="auto"/>
            </w:tcBorders>
            <w:hideMark/>
          </w:tcPr>
          <w:p w14:paraId="5881D945" w14:textId="77777777" w:rsidR="003E473F" w:rsidRDefault="003E473F">
            <w:pPr>
              <w:pStyle w:val="TAC"/>
              <w:rPr>
                <w:rFonts w:eastAsia="Times New Roman" w:cs="Arial"/>
              </w:rPr>
            </w:pPr>
            <w:r>
              <w:rPr>
                <w:rFonts w:cs="Arial"/>
                <w:lang w:eastAsia="zh-CN"/>
              </w:rPr>
              <w:t>60</w:t>
            </w:r>
          </w:p>
        </w:tc>
        <w:tc>
          <w:tcPr>
            <w:tcW w:w="1478" w:type="pct"/>
            <w:tcBorders>
              <w:top w:val="single" w:sz="4" w:space="0" w:color="auto"/>
              <w:left w:val="single" w:sz="4" w:space="0" w:color="auto"/>
              <w:bottom w:val="single" w:sz="4" w:space="0" w:color="auto"/>
              <w:right w:val="single" w:sz="4" w:space="0" w:color="auto"/>
            </w:tcBorders>
            <w:hideMark/>
          </w:tcPr>
          <w:p w14:paraId="0879016A" w14:textId="77777777" w:rsidR="003E473F" w:rsidRDefault="003E473F">
            <w:pPr>
              <w:pStyle w:val="TAC"/>
              <w:rPr>
                <w:rFonts w:cs="Arial"/>
              </w:rPr>
            </w:pPr>
            <w:bookmarkStart w:id="3" w:name="OLE_LINK3"/>
            <w:bookmarkStart w:id="4" w:name="OLE_LINK4"/>
            <w:r>
              <w:rPr>
                <w:rFonts w:cs="Arial"/>
                <w:lang w:eastAsia="zh-CN"/>
              </w:rPr>
              <w:t>[3]</w:t>
            </w:r>
            <w:r>
              <w:rPr>
                <w:rFonts w:cs="Arial"/>
              </w:rPr>
              <w:t>*</w:t>
            </w:r>
            <w:r>
              <w:rPr>
                <w:rFonts w:cs="Arial"/>
                <w:lang w:eastAsia="zh-CN"/>
              </w:rPr>
              <w:t>64</w:t>
            </w:r>
            <w:r>
              <w:rPr>
                <w:rFonts w:cs="Arial"/>
              </w:rPr>
              <w:t>*T</w:t>
            </w:r>
            <w:r>
              <w:rPr>
                <w:rFonts w:cs="Arial"/>
                <w:vertAlign w:val="subscript"/>
              </w:rPr>
              <w:t>c</w:t>
            </w:r>
            <w:bookmarkEnd w:id="3"/>
            <w:bookmarkEnd w:id="4"/>
          </w:p>
        </w:tc>
      </w:tr>
      <w:tr w:rsidR="003E473F" w14:paraId="6D1C12A2" w14:textId="77777777" w:rsidTr="00216B2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DA696" w14:textId="77777777" w:rsidR="003E473F" w:rsidRDefault="003E47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CCF8" w14:textId="77777777" w:rsidR="003E473F" w:rsidRDefault="003E473F">
            <w:pPr>
              <w:spacing w:after="0"/>
              <w:rPr>
                <w:rFonts w:ascii="Arial" w:hAnsi="Arial" w:cs="Arial"/>
                <w:sz w:val="18"/>
                <w:lang w:eastAsia="zh-CN"/>
              </w:rPr>
            </w:pPr>
          </w:p>
        </w:tc>
        <w:tc>
          <w:tcPr>
            <w:tcW w:w="1245" w:type="pct"/>
            <w:tcBorders>
              <w:top w:val="single" w:sz="4" w:space="0" w:color="auto"/>
              <w:left w:val="single" w:sz="4" w:space="0" w:color="auto"/>
              <w:bottom w:val="single" w:sz="4" w:space="0" w:color="auto"/>
              <w:right w:val="single" w:sz="4" w:space="0" w:color="auto"/>
            </w:tcBorders>
            <w:hideMark/>
          </w:tcPr>
          <w:p w14:paraId="1FCFFEF7" w14:textId="77777777" w:rsidR="003E473F" w:rsidRDefault="003E473F">
            <w:pPr>
              <w:pStyle w:val="TAC"/>
              <w:rPr>
                <w:rFonts w:cs="Arial"/>
                <w:lang w:eastAsia="zh-CN"/>
              </w:rPr>
            </w:pPr>
            <w:r>
              <w:rPr>
                <w:rFonts w:cs="Arial"/>
                <w:lang w:eastAsia="zh-CN"/>
              </w:rPr>
              <w:t>120</w:t>
            </w:r>
          </w:p>
        </w:tc>
        <w:tc>
          <w:tcPr>
            <w:tcW w:w="1478" w:type="pct"/>
            <w:tcBorders>
              <w:top w:val="single" w:sz="4" w:space="0" w:color="auto"/>
              <w:left w:val="single" w:sz="4" w:space="0" w:color="auto"/>
              <w:bottom w:val="single" w:sz="4" w:space="0" w:color="auto"/>
              <w:right w:val="single" w:sz="4" w:space="0" w:color="auto"/>
            </w:tcBorders>
            <w:hideMark/>
          </w:tcPr>
          <w:p w14:paraId="09751E67" w14:textId="77777777" w:rsidR="003E473F" w:rsidRDefault="003E473F">
            <w:pPr>
              <w:pStyle w:val="TAC"/>
              <w:rPr>
                <w:rFonts w:eastAsia="Times New Roman" w:cs="Arial"/>
              </w:rPr>
            </w:pPr>
            <w:r>
              <w:rPr>
                <w:rFonts w:cs="Arial"/>
                <w:lang w:eastAsia="zh-CN"/>
              </w:rPr>
              <w:t>[3]</w:t>
            </w:r>
            <w:r>
              <w:rPr>
                <w:rFonts w:cs="Arial"/>
              </w:rPr>
              <w:t>*</w:t>
            </w:r>
            <w:r>
              <w:rPr>
                <w:rFonts w:cs="Arial"/>
                <w:lang w:eastAsia="zh-CN"/>
              </w:rPr>
              <w:t>64</w:t>
            </w:r>
            <w:r>
              <w:rPr>
                <w:rFonts w:cs="Arial"/>
              </w:rPr>
              <w:t>*T</w:t>
            </w:r>
            <w:r>
              <w:rPr>
                <w:rFonts w:cs="Arial"/>
                <w:vertAlign w:val="subscript"/>
              </w:rPr>
              <w:t>c</w:t>
            </w:r>
          </w:p>
        </w:tc>
      </w:tr>
    </w:tbl>
    <w:p w14:paraId="52003E88" w14:textId="451C300F" w:rsidR="003E473F" w:rsidRDefault="003E473F" w:rsidP="0009774C">
      <w:pPr>
        <w:rPr>
          <w:lang w:val="en-US"/>
        </w:rPr>
      </w:pPr>
    </w:p>
    <w:p w14:paraId="2883666A" w14:textId="52FD6182" w:rsidR="007D752A" w:rsidRDefault="00BD504A" w:rsidP="0009774C">
      <w:pPr>
        <w:rPr>
          <w:lang w:val="en-US"/>
        </w:rPr>
      </w:pPr>
      <w:r>
        <w:rPr>
          <w:lang w:val="en-US"/>
        </w:rPr>
        <w:t>The limit is +/-</w:t>
      </w:r>
      <w:r w:rsidRPr="00BD504A">
        <w:rPr>
          <w:lang w:val="en-US"/>
        </w:rPr>
        <w:t xml:space="preserve"> </w:t>
      </w:r>
      <w:r>
        <w:rPr>
          <w:lang w:val="en-US"/>
        </w:rPr>
        <w:t>T</w:t>
      </w:r>
      <w:r w:rsidRPr="00B76334">
        <w:rPr>
          <w:sz w:val="24"/>
          <w:vertAlign w:val="subscript"/>
          <w:lang w:val="en-US"/>
        </w:rPr>
        <w:t>e</w:t>
      </w:r>
      <w:r>
        <w:rPr>
          <w:lang w:val="en-US"/>
        </w:rPr>
        <w:t xml:space="preserve"> and therefore the indicated value is the max allowed error. </w:t>
      </w:r>
      <w:r w:rsidR="003E473F">
        <w:rPr>
          <w:lang w:val="en-US"/>
        </w:rPr>
        <w:t>Final values are still to be confirmed but</w:t>
      </w:r>
      <w:r w:rsidR="00345612">
        <w:rPr>
          <w:lang w:val="en-US"/>
        </w:rPr>
        <w:t xml:space="preserve"> </w:t>
      </w:r>
      <w:r w:rsidR="00602B30">
        <w:rPr>
          <w:lang w:val="en-US"/>
        </w:rPr>
        <w:t xml:space="preserve">they </w:t>
      </w:r>
      <w:r w:rsidR="00345612">
        <w:rPr>
          <w:lang w:val="en-US"/>
        </w:rPr>
        <w:t>are</w:t>
      </w:r>
      <w:r w:rsidR="003E473F">
        <w:rPr>
          <w:lang w:val="en-US"/>
        </w:rPr>
        <w:t xml:space="preserve"> of the same o</w:t>
      </w:r>
      <w:r w:rsidR="007D752A">
        <w:rPr>
          <w:lang w:val="en-US"/>
        </w:rPr>
        <w:t xml:space="preserve">rder </w:t>
      </w:r>
      <w:r w:rsidR="00E20155">
        <w:rPr>
          <w:lang w:val="en-US"/>
        </w:rPr>
        <w:t xml:space="preserve">of magnitude </w:t>
      </w:r>
      <w:r w:rsidR="00525C15">
        <w:rPr>
          <w:lang w:val="en-US"/>
        </w:rPr>
        <w:t>as</w:t>
      </w:r>
      <w:r w:rsidR="007D752A">
        <w:rPr>
          <w:lang w:val="en-US"/>
        </w:rPr>
        <w:t xml:space="preserve"> the TA granularities. The reference point for the UE TX is the time when </w:t>
      </w:r>
      <w:r w:rsidR="00525C15">
        <w:rPr>
          <w:lang w:val="en-US"/>
        </w:rPr>
        <w:t xml:space="preserve">the </w:t>
      </w:r>
      <w:r w:rsidR="007D752A" w:rsidRPr="007D752A">
        <w:rPr>
          <w:lang w:val="en-US"/>
        </w:rPr>
        <w:t xml:space="preserve">first detected path of the downlink frame is received from the reference </w:t>
      </w:r>
      <w:r w:rsidR="007D752A">
        <w:rPr>
          <w:lang w:val="en-US"/>
        </w:rPr>
        <w:t xml:space="preserve">(serving) </w:t>
      </w:r>
      <w:r w:rsidR="007D752A" w:rsidRPr="007D752A">
        <w:rPr>
          <w:lang w:val="en-US"/>
        </w:rPr>
        <w:t>cell</w:t>
      </w:r>
      <w:r w:rsidR="007D752A">
        <w:rPr>
          <w:lang w:val="en-US"/>
        </w:rPr>
        <w:t xml:space="preserve">. In the IAB case, and especially </w:t>
      </w:r>
      <w:r w:rsidR="007D752A">
        <w:rPr>
          <w:lang w:val="en-US"/>
        </w:rPr>
        <w:lastRenderedPageBreak/>
        <w:t xml:space="preserve">on the higher bands, high LOS probability can be assumed </w:t>
      </w:r>
      <w:r w:rsidR="00F25C8F">
        <w:rPr>
          <w:lang w:val="en-US"/>
        </w:rPr>
        <w:t xml:space="preserve">(IAB nodes are not placed randomly but aiming for LOS between them) </w:t>
      </w:r>
      <w:r w:rsidR="007D752A">
        <w:rPr>
          <w:lang w:val="en-US"/>
        </w:rPr>
        <w:t xml:space="preserve">and the channel delay spread will </w:t>
      </w:r>
      <w:r w:rsidR="00525C15">
        <w:rPr>
          <w:lang w:val="en-US"/>
        </w:rPr>
        <w:t>be small</w:t>
      </w:r>
      <w:r w:rsidR="007D752A">
        <w:rPr>
          <w:lang w:val="en-US"/>
        </w:rPr>
        <w:t xml:space="preserve"> when using narrow beams (both TX and RX). Therefore, the reference point for the time derivation will be more accurate than </w:t>
      </w:r>
      <w:r w:rsidR="00602B30">
        <w:rPr>
          <w:lang w:val="en-US"/>
        </w:rPr>
        <w:t xml:space="preserve">what is typical </w:t>
      </w:r>
      <w:r w:rsidR="007D752A">
        <w:rPr>
          <w:lang w:val="en-US"/>
        </w:rPr>
        <w:t>with access UEs.</w:t>
      </w:r>
    </w:p>
    <w:p w14:paraId="656C93ED" w14:textId="1A2214C4" w:rsidR="003E473F" w:rsidRDefault="003E473F" w:rsidP="0009774C">
      <w:pPr>
        <w:rPr>
          <w:lang w:val="en-US"/>
        </w:rPr>
      </w:pPr>
      <w:r>
        <w:rPr>
          <w:lang w:val="en-US"/>
        </w:rPr>
        <w:t>For the UE TA adjustment accuracy, the requirements are listed in Table 3:</w:t>
      </w:r>
    </w:p>
    <w:p w14:paraId="20E90C4D" w14:textId="113CBA7D" w:rsidR="003E473F" w:rsidRDefault="003E473F" w:rsidP="00216B2E">
      <w:pPr>
        <w:jc w:val="center"/>
        <w:rPr>
          <w:lang w:val="en-US"/>
        </w:rPr>
      </w:pPr>
      <w:r>
        <w:rPr>
          <w:lang w:val="en-US"/>
        </w:rPr>
        <w:t>Table 3. UE TA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3E473F" w14:paraId="7996007E" w14:textId="77777777" w:rsidTr="003E473F">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50F89B9F" w14:textId="77777777" w:rsidR="003E473F" w:rsidRDefault="003E473F">
            <w:pPr>
              <w:pStyle w:val="TAH"/>
            </w:pPr>
            <w: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6C76F8C7" w14:textId="77777777" w:rsidR="003E473F" w:rsidRDefault="003E473F">
            <w:pPr>
              <w:pStyle w:val="TAH"/>
              <w:rPr>
                <w:lang w:val="en-US"/>
              </w:rPr>
            </w:pPr>
            <w: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32D837" w14:textId="77777777" w:rsidR="003E473F" w:rsidRDefault="003E473F">
            <w:pPr>
              <w:pStyle w:val="TAH"/>
              <w:rPr>
                <w:lang w:val="en-US"/>
              </w:rPr>
            </w:pPr>
            <w: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9D7B70" w14:textId="77777777" w:rsidR="003E473F" w:rsidRDefault="003E473F">
            <w:pPr>
              <w:pStyle w:val="TAH"/>
              <w:rPr>
                <w:lang w:val="en-US"/>
              </w:rPr>
            </w:pPr>
            <w: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56024" w14:textId="77777777" w:rsidR="003E473F" w:rsidRDefault="003E473F">
            <w:pPr>
              <w:pStyle w:val="TAH"/>
              <w:rPr>
                <w:lang w:val="en-US"/>
              </w:rPr>
            </w:pPr>
            <w:r>
              <w:t>120</w:t>
            </w:r>
          </w:p>
        </w:tc>
      </w:tr>
      <w:tr w:rsidR="003E473F" w14:paraId="25C93E7D" w14:textId="77777777" w:rsidTr="003E473F">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0A9DE38E" w14:textId="77777777" w:rsidR="003E473F" w:rsidRDefault="003E473F">
            <w:pPr>
              <w:pStyle w:val="TAH"/>
            </w:pPr>
            <w: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662F62C6" w14:textId="77777777" w:rsidR="003E473F" w:rsidRDefault="003E473F">
            <w:pPr>
              <w:pStyle w:val="TAC"/>
              <w:rPr>
                <w:lang w:val="en-US"/>
              </w:rPr>
            </w:pPr>
            <w:r>
              <w:rPr>
                <w:szCs w:val="22"/>
                <w:lang w:val="en-US"/>
              </w:rPr>
              <w:t>±</w:t>
            </w:r>
            <w:r>
              <w:t>256 T</w:t>
            </w:r>
            <w:r>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ED3BDE" w14:textId="77777777" w:rsidR="003E473F" w:rsidRDefault="003E473F">
            <w:pPr>
              <w:pStyle w:val="TAC"/>
              <w:rPr>
                <w:lang w:val="en-US"/>
              </w:rPr>
            </w:pPr>
            <w:r>
              <w:rPr>
                <w:szCs w:val="22"/>
                <w:lang w:val="en-US"/>
              </w:rPr>
              <w:t>±</w:t>
            </w:r>
            <w:r>
              <w:t>256 T</w:t>
            </w:r>
            <w:r>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1E89BE" w14:textId="77777777" w:rsidR="003E473F" w:rsidRDefault="003E473F">
            <w:pPr>
              <w:pStyle w:val="TAC"/>
              <w:rPr>
                <w:lang w:val="en-US"/>
              </w:rPr>
            </w:pPr>
            <w:r>
              <w:rPr>
                <w:szCs w:val="22"/>
                <w:lang w:val="en-US"/>
              </w:rPr>
              <w:t>±</w:t>
            </w:r>
            <w:r>
              <w:t>128 T</w:t>
            </w:r>
            <w:r>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70C8D" w14:textId="77777777" w:rsidR="003E473F" w:rsidRDefault="003E473F">
            <w:pPr>
              <w:pStyle w:val="TAC"/>
              <w:rPr>
                <w:lang w:val="en-US"/>
              </w:rPr>
            </w:pPr>
            <w:r>
              <w:rPr>
                <w:szCs w:val="22"/>
                <w:lang w:val="en-US"/>
              </w:rPr>
              <w:t>±</w:t>
            </w:r>
            <w:r>
              <w:t>32 T</w:t>
            </w:r>
            <w:r>
              <w:rPr>
                <w:vertAlign w:val="subscript"/>
              </w:rPr>
              <w:t>c</w:t>
            </w:r>
          </w:p>
        </w:tc>
      </w:tr>
    </w:tbl>
    <w:p w14:paraId="1B940CE4" w14:textId="77777777" w:rsidR="003E473F" w:rsidRDefault="003E473F" w:rsidP="0009774C">
      <w:pPr>
        <w:rPr>
          <w:lang w:val="en-US"/>
        </w:rPr>
      </w:pPr>
    </w:p>
    <w:p w14:paraId="4AF8DF27" w14:textId="0B95189E" w:rsidR="003E473F" w:rsidRDefault="00424FBD" w:rsidP="0009774C">
      <w:pPr>
        <w:rPr>
          <w:lang w:val="en-US"/>
        </w:rPr>
      </w:pPr>
      <w:r>
        <w:rPr>
          <w:lang w:val="en-US"/>
        </w:rPr>
        <w:t>Allowed inaccuracies for TA adjustment are clearly smaller than the TA granularity but non-negligible.</w:t>
      </w:r>
    </w:p>
    <w:p w14:paraId="71DE20BD" w14:textId="442E7F2A" w:rsidR="00424FBD" w:rsidRDefault="00BD504A" w:rsidP="0009774C">
      <w:pPr>
        <w:rPr>
          <w:lang w:val="en-US"/>
        </w:rPr>
      </w:pPr>
      <w:r>
        <w:rPr>
          <w:lang w:val="en-US"/>
        </w:rPr>
        <w:t xml:space="preserve">All </w:t>
      </w:r>
      <w:r w:rsidR="00424FBD">
        <w:rPr>
          <w:lang w:val="en-US"/>
        </w:rPr>
        <w:t xml:space="preserve">parameters </w:t>
      </w:r>
      <w:r>
        <w:rPr>
          <w:lang w:val="en-US"/>
        </w:rPr>
        <w:t>discussed above</w:t>
      </w:r>
      <w:r w:rsidR="00424FBD">
        <w:rPr>
          <w:lang w:val="en-US"/>
        </w:rPr>
        <w:t xml:space="preserve"> affect the accuracy of the IAB UE to align its time reference with the </w:t>
      </w:r>
      <w:r>
        <w:rPr>
          <w:lang w:val="en-US"/>
        </w:rPr>
        <w:t>serving node, either Donor or another IAB node in case synchronization of the IAB node is done utilizing signaled TA value, and assuming the normal UE requirements for timing accuracy are applied also for IAB UE.</w:t>
      </w:r>
    </w:p>
    <w:p w14:paraId="46D1349E" w14:textId="138A823D" w:rsidR="008E6220" w:rsidRDefault="00190946" w:rsidP="0009774C">
      <w:pPr>
        <w:rPr>
          <w:lang w:val="en-US"/>
        </w:rPr>
      </w:pPr>
      <w:r>
        <w:rPr>
          <w:lang w:val="en-US"/>
        </w:rPr>
        <w:t>As an example, if we assume that the errors are additive, the maximum error for 120 kHz SCS/FR2 will become:</w:t>
      </w:r>
    </w:p>
    <w:p w14:paraId="6141E896" w14:textId="0F274F67" w:rsidR="00190946" w:rsidRDefault="00190946" w:rsidP="00216B2E">
      <w:pPr>
        <w:ind w:left="284"/>
        <w:rPr>
          <w:lang w:val="en-US"/>
        </w:rPr>
      </w:pPr>
      <w:r>
        <w:rPr>
          <w:lang w:val="en-US"/>
        </w:rPr>
        <w:t xml:space="preserve">((16*64/8)/2 + 3.5*64 + 32)*Tc = </w:t>
      </w:r>
      <w:r w:rsidR="002D4FA1">
        <w:rPr>
          <w:lang w:val="en-US"/>
        </w:rPr>
        <w:t xml:space="preserve">163ns, </w:t>
      </w:r>
    </w:p>
    <w:p w14:paraId="1F6074FA" w14:textId="147BE967" w:rsidR="002D4FA1" w:rsidRDefault="002D4FA1" w:rsidP="00216B2E">
      <w:pPr>
        <w:ind w:firstLine="284"/>
        <w:rPr>
          <w:lang w:val="en-US"/>
        </w:rPr>
      </w:pPr>
      <w:r>
        <w:rPr>
          <w:lang w:val="en-US"/>
        </w:rPr>
        <w:t>where the 1</w:t>
      </w:r>
      <w:r w:rsidRPr="00216B2E">
        <w:rPr>
          <w:vertAlign w:val="superscript"/>
          <w:lang w:val="en-US"/>
        </w:rPr>
        <w:t>st</w:t>
      </w:r>
      <w:r>
        <w:rPr>
          <w:lang w:val="en-US"/>
        </w:rPr>
        <w:t xml:space="preserve"> term is the granularity divided by 2, the 2</w:t>
      </w:r>
      <w:r w:rsidRPr="00216B2E">
        <w:rPr>
          <w:vertAlign w:val="superscript"/>
          <w:lang w:val="en-US"/>
        </w:rPr>
        <w:t>nd</w:t>
      </w:r>
      <w:r>
        <w:rPr>
          <w:lang w:val="en-US"/>
        </w:rPr>
        <w:t xml:space="preserve"> term T</w:t>
      </w:r>
      <w:r w:rsidRPr="00B76334">
        <w:rPr>
          <w:sz w:val="24"/>
          <w:vertAlign w:val="subscript"/>
          <w:lang w:val="en-US"/>
        </w:rPr>
        <w:t>e</w:t>
      </w:r>
      <w:r>
        <w:rPr>
          <w:lang w:val="en-US"/>
        </w:rPr>
        <w:t xml:space="preserve"> and the 3</w:t>
      </w:r>
      <w:r w:rsidRPr="00216B2E">
        <w:rPr>
          <w:vertAlign w:val="superscript"/>
          <w:lang w:val="en-US"/>
        </w:rPr>
        <w:t>rd</w:t>
      </w:r>
      <w:r>
        <w:rPr>
          <w:lang w:val="en-US"/>
        </w:rPr>
        <w:t xml:space="preserve"> one TA adjustment accuracy.</w:t>
      </w:r>
    </w:p>
    <w:p w14:paraId="70B5D12F" w14:textId="5D92A446" w:rsidR="002D4FA1" w:rsidRPr="00E750D8" w:rsidRDefault="00AD5A83" w:rsidP="002D4FA1">
      <w:pPr>
        <w:rPr>
          <w:lang w:val="en-US"/>
        </w:rPr>
      </w:pPr>
      <w:r>
        <w:rPr>
          <w:lang w:val="en-US"/>
        </w:rPr>
        <w:t>The c</w:t>
      </w:r>
      <w:r w:rsidR="002D4FA1">
        <w:rPr>
          <w:lang w:val="en-US"/>
        </w:rPr>
        <w:t xml:space="preserve">orresponding value for 15kHz SCS/FR1 would be </w:t>
      </w:r>
      <w:r w:rsidR="007D752A">
        <w:rPr>
          <w:lang w:val="en-US"/>
        </w:rPr>
        <w:t xml:space="preserve">1.04 us. </w:t>
      </w:r>
    </w:p>
    <w:p w14:paraId="45009A07" w14:textId="02621A35" w:rsidR="004C6AB8" w:rsidRDefault="004C6AB8" w:rsidP="004C6AB8">
      <w:pPr>
        <w:spacing w:after="120"/>
        <w:rPr>
          <w:rFonts w:eastAsia="MS Mincho"/>
          <w:lang w:eastAsia="ja-JP"/>
        </w:rPr>
      </w:pPr>
      <w:r>
        <w:rPr>
          <w:rFonts w:eastAsia="MS Mincho"/>
          <w:lang w:eastAsia="ja-JP"/>
        </w:rPr>
        <w:t>In</w:t>
      </w:r>
      <w:r w:rsidR="00E60ED3">
        <w:rPr>
          <w:rFonts w:eastAsia="MS Mincho"/>
          <w:lang w:eastAsia="ja-JP"/>
        </w:rPr>
        <w:t xml:space="preserve"> </w:t>
      </w:r>
      <w:r w:rsidR="00E60ED3">
        <w:rPr>
          <w:rFonts w:eastAsia="MS Mincho"/>
          <w:lang w:eastAsia="ja-JP"/>
        </w:rPr>
        <w:fldChar w:fldCharType="begin"/>
      </w:r>
      <w:r w:rsidR="00E60ED3">
        <w:rPr>
          <w:rFonts w:eastAsia="MS Mincho"/>
          <w:lang w:eastAsia="ja-JP"/>
        </w:rPr>
        <w:instrText xml:space="preserve"> REF _Ref510007790 \r \h </w:instrText>
      </w:r>
      <w:r w:rsidR="00E60ED3">
        <w:rPr>
          <w:rFonts w:eastAsia="MS Mincho"/>
          <w:lang w:eastAsia="ja-JP"/>
        </w:rPr>
      </w:r>
      <w:r w:rsidR="00E60ED3">
        <w:rPr>
          <w:rFonts w:eastAsia="MS Mincho"/>
          <w:lang w:eastAsia="ja-JP"/>
        </w:rPr>
        <w:fldChar w:fldCharType="separate"/>
      </w:r>
      <w:r w:rsidR="00E60ED3">
        <w:rPr>
          <w:rFonts w:eastAsia="MS Mincho"/>
          <w:lang w:eastAsia="ja-JP"/>
        </w:rPr>
        <w:t>[4]</w:t>
      </w:r>
      <w:r w:rsidR="00E60ED3">
        <w:rPr>
          <w:rFonts w:eastAsia="MS Mincho"/>
          <w:lang w:eastAsia="ja-JP"/>
        </w:rPr>
        <w:fldChar w:fldCharType="end"/>
      </w:r>
      <w:r>
        <w:rPr>
          <w:rFonts w:eastAsia="MS Mincho"/>
          <w:lang w:eastAsia="ja-JP"/>
        </w:rPr>
        <w:t>, c</w:t>
      </w:r>
      <w:r w:rsidRPr="004C6AB8">
        <w:rPr>
          <w:rFonts w:eastAsia="MS Mincho"/>
          <w:lang w:eastAsia="ja-JP"/>
        </w:rPr>
        <w:t>ell phase synchronization accuracy for TDD is defined as the maximum absolute deviation in frame start timing between any pair of cells on the same frequency that have overlapping coverage areas.</w:t>
      </w:r>
      <w:r>
        <w:rPr>
          <w:rFonts w:eastAsia="MS Mincho"/>
          <w:lang w:eastAsia="ja-JP"/>
        </w:rPr>
        <w:t xml:space="preserve"> </w:t>
      </w:r>
      <w:r w:rsidRPr="004C6AB8">
        <w:rPr>
          <w:rFonts w:eastAsia="MS Mincho"/>
          <w:lang w:eastAsia="ja-JP"/>
        </w:rPr>
        <w:t>The cell phase synchronization accuracy measured at BS antenna con</w:t>
      </w:r>
      <w:r w:rsidR="00E60ED3">
        <w:rPr>
          <w:rFonts w:eastAsia="MS Mincho"/>
          <w:lang w:eastAsia="ja-JP"/>
        </w:rPr>
        <w:t>nectors shall be better than 3</w:t>
      </w:r>
      <w:r w:rsidRPr="004C6AB8">
        <w:rPr>
          <w:rFonts w:eastAsia="MS Mincho"/>
          <w:lang w:eastAsia="ja-JP"/>
        </w:rPr>
        <w:t xml:space="preserve"> µs.</w:t>
      </w:r>
    </w:p>
    <w:p w14:paraId="1230E49C" w14:textId="2224EBEB" w:rsidR="00546A74" w:rsidRPr="00216B2E" w:rsidRDefault="00D84DA7" w:rsidP="0009774C">
      <w:pPr>
        <w:spacing w:after="120"/>
        <w:rPr>
          <w:rFonts w:eastAsia="MS Mincho"/>
          <w:lang w:eastAsia="ja-JP"/>
        </w:rPr>
      </w:pPr>
      <w:r>
        <w:rPr>
          <w:rFonts w:eastAsia="MS Mincho"/>
          <w:lang w:eastAsia="ja-JP"/>
        </w:rPr>
        <w:t xml:space="preserve">The allowed inaccuracy for cell synchronization is larger than the timing errors calculated above. This is even more evident </w:t>
      </w:r>
      <w:r w:rsidR="00540541">
        <w:rPr>
          <w:rFonts w:eastAsia="MS Mincho"/>
          <w:lang w:eastAsia="ja-JP"/>
        </w:rPr>
        <w:t xml:space="preserve">on the mmWave bands where </w:t>
      </w:r>
      <w:r>
        <w:rPr>
          <w:rFonts w:eastAsia="MS Mincho"/>
          <w:lang w:eastAsia="ja-JP"/>
        </w:rPr>
        <w:t xml:space="preserve">the timing accuracy will be substantially better than </w:t>
      </w:r>
      <w:r w:rsidR="00540541">
        <w:rPr>
          <w:rFonts w:eastAsia="MS Mincho"/>
          <w:lang w:eastAsia="ja-JP"/>
        </w:rPr>
        <w:t xml:space="preserve">what is </w:t>
      </w:r>
      <w:r>
        <w:rPr>
          <w:rFonts w:eastAsia="MS Mincho"/>
          <w:lang w:eastAsia="ja-JP"/>
        </w:rPr>
        <w:t>required for cell synchronization.</w:t>
      </w:r>
    </w:p>
    <w:p w14:paraId="38001C07" w14:textId="2FABA054" w:rsidR="0009774C" w:rsidRPr="00C663A8" w:rsidRDefault="00E90924" w:rsidP="0009774C">
      <w:pPr>
        <w:spacing w:after="120"/>
        <w:rPr>
          <w:rFonts w:eastAsia="MS Mincho"/>
          <w:b/>
          <w:lang w:eastAsia="ja-JP"/>
        </w:rPr>
      </w:pPr>
      <w:r>
        <w:rPr>
          <w:rFonts w:eastAsia="MS Mincho"/>
          <w:b/>
          <w:lang w:eastAsia="ja-JP"/>
        </w:rPr>
        <w:t>Observation 5</w:t>
      </w:r>
      <w:r w:rsidR="00C663A8" w:rsidRPr="00C663A8">
        <w:rPr>
          <w:rFonts w:eastAsia="MS Mincho"/>
          <w:b/>
          <w:lang w:eastAsia="ja-JP"/>
        </w:rPr>
        <w:t xml:space="preserve">. </w:t>
      </w:r>
      <w:r w:rsidR="00D84DA7">
        <w:rPr>
          <w:rFonts w:eastAsia="MS Mincho"/>
          <w:b/>
          <w:lang w:eastAsia="ja-JP"/>
        </w:rPr>
        <w:t xml:space="preserve">Estimated timing errors are </w:t>
      </w:r>
      <w:r w:rsidR="00C663A8" w:rsidRPr="00C663A8">
        <w:rPr>
          <w:rFonts w:eastAsia="MS Mincho"/>
          <w:b/>
          <w:lang w:eastAsia="ja-JP"/>
        </w:rPr>
        <w:t xml:space="preserve">shorter than the requirement for the </w:t>
      </w:r>
      <w:r w:rsidR="00E60ED3">
        <w:rPr>
          <w:rFonts w:eastAsia="MS Mincho"/>
          <w:b/>
          <w:lang w:eastAsia="ja-JP"/>
        </w:rPr>
        <w:t xml:space="preserve">defined </w:t>
      </w:r>
      <w:r w:rsidR="00C663A8" w:rsidRPr="00C663A8">
        <w:rPr>
          <w:rFonts w:eastAsia="MS Mincho"/>
          <w:b/>
          <w:lang w:eastAsia="ja-JP"/>
        </w:rPr>
        <w:t>cell phase synchronization accuracy.</w:t>
      </w:r>
    </w:p>
    <w:p w14:paraId="023B854C" w14:textId="5DB4E86C" w:rsidR="00540541" w:rsidRDefault="00540541" w:rsidP="0009774C">
      <w:pPr>
        <w:spacing w:after="120"/>
        <w:rPr>
          <w:rFonts w:eastAsia="MS Mincho"/>
          <w:lang w:eastAsia="ja-JP"/>
        </w:rPr>
      </w:pPr>
      <w:r>
        <w:rPr>
          <w:rFonts w:eastAsia="MS Mincho"/>
          <w:lang w:eastAsia="ja-JP"/>
        </w:rPr>
        <w:t>W</w:t>
      </w:r>
      <w:r w:rsidR="00C663A8">
        <w:rPr>
          <w:rFonts w:eastAsia="MS Mincho"/>
          <w:lang w:eastAsia="ja-JP"/>
        </w:rPr>
        <w:t xml:space="preserve">hen </w:t>
      </w:r>
      <w:r>
        <w:rPr>
          <w:rFonts w:eastAsia="MS Mincho"/>
          <w:lang w:eastAsia="ja-JP"/>
        </w:rPr>
        <w:t xml:space="preserve">using </w:t>
      </w:r>
      <w:r w:rsidR="00C663A8">
        <w:rPr>
          <w:rFonts w:eastAsia="MS Mincho"/>
          <w:lang w:eastAsia="ja-JP"/>
        </w:rPr>
        <w:t>TA adjustment</w:t>
      </w:r>
      <w:r>
        <w:rPr>
          <w:rFonts w:eastAsia="MS Mincho"/>
          <w:lang w:eastAsia="ja-JP"/>
        </w:rPr>
        <w:t xml:space="preserve"> to determine the timing reference, there will be an IAB deployment specific issue</w:t>
      </w:r>
      <w:r w:rsidR="00C663A8">
        <w:rPr>
          <w:rFonts w:eastAsia="MS Mincho"/>
          <w:lang w:eastAsia="ja-JP"/>
        </w:rPr>
        <w:t xml:space="preserve"> </w:t>
      </w:r>
      <w:r>
        <w:rPr>
          <w:rFonts w:eastAsia="MS Mincho"/>
          <w:lang w:eastAsia="ja-JP"/>
        </w:rPr>
        <w:t xml:space="preserve">when </w:t>
      </w:r>
      <w:r w:rsidR="00C663A8">
        <w:rPr>
          <w:rFonts w:eastAsia="MS Mincho"/>
          <w:lang w:eastAsia="ja-JP"/>
        </w:rPr>
        <w:t>concatenati</w:t>
      </w:r>
      <w:r>
        <w:rPr>
          <w:rFonts w:eastAsia="MS Mincho"/>
          <w:lang w:eastAsia="ja-JP"/>
        </w:rPr>
        <w:t>ng</w:t>
      </w:r>
      <w:r w:rsidR="00C663A8">
        <w:rPr>
          <w:rFonts w:eastAsia="MS Mincho"/>
          <w:lang w:eastAsia="ja-JP"/>
        </w:rPr>
        <w:t xml:space="preserve"> of multiple IAB nodes as a multi-hop relaying scenario.</w:t>
      </w:r>
      <w:r w:rsidR="0049639A">
        <w:rPr>
          <w:rFonts w:eastAsia="MS Mincho"/>
          <w:lang w:eastAsia="ja-JP"/>
        </w:rPr>
        <w:t xml:space="preserve"> Each IAB node uses the upstream serving node for its </w:t>
      </w:r>
      <w:r w:rsidR="00E60ED3">
        <w:rPr>
          <w:rFonts w:eastAsia="MS Mincho"/>
          <w:lang w:eastAsia="ja-JP"/>
        </w:rPr>
        <w:t xml:space="preserve">synchronization </w:t>
      </w:r>
      <w:r w:rsidR="0049639A">
        <w:rPr>
          <w:rFonts w:eastAsia="MS Mincho"/>
          <w:lang w:eastAsia="ja-JP"/>
        </w:rPr>
        <w:t>reference. That means th</w:t>
      </w:r>
      <w:r w:rsidR="00F25C8F">
        <w:rPr>
          <w:rFonts w:eastAsia="MS Mincho"/>
          <w:lang w:eastAsia="ja-JP"/>
        </w:rPr>
        <w:t>at</w:t>
      </w:r>
      <w:r w:rsidR="0049639A">
        <w:rPr>
          <w:rFonts w:eastAsia="MS Mincho"/>
          <w:lang w:eastAsia="ja-JP"/>
        </w:rPr>
        <w:t xml:space="preserve"> any errors in timing will propagate over multi-hop</w:t>
      </w:r>
      <w:r w:rsidR="00090EDD">
        <w:rPr>
          <w:rFonts w:eastAsia="MS Mincho"/>
          <w:lang w:eastAsia="ja-JP"/>
        </w:rPr>
        <w:t>s</w:t>
      </w:r>
      <w:r w:rsidR="0049639A">
        <w:rPr>
          <w:rFonts w:eastAsia="MS Mincho"/>
          <w:lang w:eastAsia="ja-JP"/>
        </w:rPr>
        <w:t xml:space="preserve"> causing possible cumulative error </w:t>
      </w:r>
      <w:r>
        <w:rPr>
          <w:rFonts w:eastAsia="MS Mincho"/>
          <w:lang w:eastAsia="ja-JP"/>
        </w:rPr>
        <w:t xml:space="preserve">in </w:t>
      </w:r>
      <w:r w:rsidR="00552309">
        <w:rPr>
          <w:rFonts w:eastAsia="MS Mincho"/>
          <w:lang w:eastAsia="ja-JP"/>
        </w:rPr>
        <w:t xml:space="preserve">the time reference. The standard may not limit the number of hops but there can be practical issues (deployment scenario, latency requirement, etc.) limiting the number of hops to only few, e.g. 4 to 5. </w:t>
      </w:r>
      <w:r w:rsidR="00E71099">
        <w:rPr>
          <w:rFonts w:eastAsia="MS Mincho"/>
          <w:lang w:eastAsia="ja-JP"/>
        </w:rPr>
        <w:t xml:space="preserve">Based on the error analysis above, </w:t>
      </w:r>
      <w:r w:rsidR="00EC2083">
        <w:rPr>
          <w:rFonts w:eastAsia="MS Mincho"/>
          <w:lang w:eastAsia="ja-JP"/>
        </w:rPr>
        <w:t>we think</w:t>
      </w:r>
      <w:r w:rsidR="00E71099">
        <w:rPr>
          <w:rFonts w:eastAsia="MS Mincho"/>
          <w:lang w:eastAsia="ja-JP"/>
        </w:rPr>
        <w:t xml:space="preserve"> that on mmWave bands there is sufficient margin to support multi-hop topologies up to the number hops that seem practically sensible. Only with largest SCSs and low bands</w:t>
      </w:r>
      <w:r w:rsidR="00F25C8F">
        <w:rPr>
          <w:rFonts w:eastAsia="MS Mincho"/>
          <w:lang w:eastAsia="ja-JP"/>
        </w:rPr>
        <w:t xml:space="preserve"> the</w:t>
      </w:r>
      <w:r w:rsidR="00E71099">
        <w:rPr>
          <w:rFonts w:eastAsia="MS Mincho"/>
          <w:lang w:eastAsia="ja-JP"/>
        </w:rPr>
        <w:t xml:space="preserve"> synchronization error could limit the number of support</w:t>
      </w:r>
      <w:r w:rsidR="00F25C8F">
        <w:rPr>
          <w:rFonts w:eastAsia="MS Mincho"/>
          <w:lang w:eastAsia="ja-JP"/>
        </w:rPr>
        <w:t>ed</w:t>
      </w:r>
      <w:r w:rsidR="00E71099">
        <w:rPr>
          <w:rFonts w:eastAsia="MS Mincho"/>
          <w:lang w:eastAsia="ja-JP"/>
        </w:rPr>
        <w:t xml:space="preserve"> hops. However, the latter case is not the anticipated IAB scenario and it is de-prioritized also in the IAB SI.</w:t>
      </w:r>
    </w:p>
    <w:p w14:paraId="74DC13F0" w14:textId="352D28F4" w:rsidR="00C663A8" w:rsidRPr="00216B2E" w:rsidRDefault="00E90924" w:rsidP="0009774C">
      <w:pPr>
        <w:spacing w:after="120"/>
        <w:rPr>
          <w:rFonts w:eastAsia="MS Mincho"/>
          <w:b/>
          <w:lang w:eastAsia="ja-JP"/>
        </w:rPr>
      </w:pPr>
      <w:r>
        <w:rPr>
          <w:rFonts w:eastAsia="MS Mincho"/>
          <w:b/>
          <w:lang w:eastAsia="ja-JP"/>
        </w:rPr>
        <w:t>Observation 6</w:t>
      </w:r>
      <w:r w:rsidR="00E71099" w:rsidRPr="00216B2E">
        <w:rPr>
          <w:rFonts w:eastAsia="MS Mincho"/>
          <w:b/>
          <w:lang w:eastAsia="ja-JP"/>
        </w:rPr>
        <w:t xml:space="preserve">. </w:t>
      </w:r>
      <w:r w:rsidR="00D836F7" w:rsidRPr="00216B2E">
        <w:rPr>
          <w:rFonts w:eastAsia="MS Mincho"/>
          <w:b/>
          <w:lang w:eastAsia="ja-JP"/>
        </w:rPr>
        <w:t>TA based synchronization can support also multi-hop topologies in the anticipated IAB use cases and scenarios.</w:t>
      </w:r>
    </w:p>
    <w:p w14:paraId="5BFA1E40" w14:textId="19771ACB" w:rsidR="00552309" w:rsidRPr="00552309" w:rsidRDefault="00E90924" w:rsidP="0009774C">
      <w:pPr>
        <w:spacing w:after="120"/>
        <w:rPr>
          <w:rFonts w:eastAsia="MS Mincho"/>
          <w:b/>
          <w:lang w:eastAsia="ja-JP"/>
        </w:rPr>
      </w:pPr>
      <w:r>
        <w:rPr>
          <w:rFonts w:eastAsia="MS Mincho"/>
          <w:b/>
          <w:lang w:eastAsia="ja-JP"/>
        </w:rPr>
        <w:t>Proposal 1</w:t>
      </w:r>
      <w:r w:rsidR="00552309" w:rsidRPr="00552309">
        <w:rPr>
          <w:rFonts w:eastAsia="MS Mincho"/>
          <w:b/>
          <w:lang w:eastAsia="ja-JP"/>
        </w:rPr>
        <w:t>.</w:t>
      </w:r>
      <w:r w:rsidR="00E917E6">
        <w:rPr>
          <w:rFonts w:eastAsia="MS Mincho"/>
          <w:b/>
          <w:lang w:eastAsia="ja-JP"/>
        </w:rPr>
        <w:t xml:space="preserve"> </w:t>
      </w:r>
      <w:r w:rsidR="006D2D0B">
        <w:rPr>
          <w:rFonts w:eastAsia="MS Mincho"/>
          <w:b/>
          <w:lang w:eastAsia="ja-JP"/>
        </w:rPr>
        <w:t xml:space="preserve">TA based synchronization </w:t>
      </w:r>
      <w:r w:rsidR="00184997">
        <w:rPr>
          <w:rFonts w:eastAsia="MS Mincho"/>
          <w:b/>
          <w:lang w:eastAsia="ja-JP"/>
        </w:rPr>
        <w:t>is</w:t>
      </w:r>
      <w:r w:rsidR="006D2D0B">
        <w:rPr>
          <w:rFonts w:eastAsia="MS Mincho"/>
          <w:b/>
          <w:lang w:eastAsia="ja-JP"/>
        </w:rPr>
        <w:t xml:space="preserve"> taken as basis for IAB synchronization supporting also multi-hop scenarios</w:t>
      </w:r>
      <w:r w:rsidR="00552309" w:rsidRPr="00552309">
        <w:rPr>
          <w:rFonts w:eastAsia="MS Mincho"/>
          <w:b/>
          <w:lang w:eastAsia="ja-JP"/>
        </w:rPr>
        <w:t>.</w:t>
      </w:r>
    </w:p>
    <w:p w14:paraId="152BAB7E" w14:textId="77777777" w:rsidR="0003163F" w:rsidRDefault="0003163F" w:rsidP="00CB3C8E">
      <w:pPr>
        <w:spacing w:after="0"/>
        <w:rPr>
          <w:rFonts w:eastAsia="MS Mincho"/>
          <w:lang w:eastAsia="ja-JP"/>
        </w:rPr>
      </w:pPr>
    </w:p>
    <w:p w14:paraId="0D827FAF" w14:textId="6E9EC3AB" w:rsidR="0034111C" w:rsidRPr="00A51522" w:rsidRDefault="005E7117">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5D606053" w14:textId="25B6AF5C" w:rsidR="00E917E6" w:rsidRPr="00E90924" w:rsidRDefault="00142026" w:rsidP="00E90924">
      <w:pPr>
        <w:spacing w:after="120"/>
        <w:jc w:val="both"/>
        <w:rPr>
          <w:lang w:val="en-US"/>
        </w:rPr>
      </w:pPr>
      <w:r w:rsidRPr="00602B30">
        <w:rPr>
          <w:lang w:val="en-US"/>
        </w:rPr>
        <w:t>In this contribution</w:t>
      </w:r>
      <w:r w:rsidR="00602B30">
        <w:rPr>
          <w:lang w:val="en-US"/>
        </w:rPr>
        <w:t xml:space="preserve"> we have elaborated </w:t>
      </w:r>
      <w:r w:rsidR="00E917E6">
        <w:rPr>
          <w:lang w:val="en-US"/>
        </w:rPr>
        <w:t>the assumptions for the timing of the IAB nodes and how the synchronization of the DL and UL signals can be done with IAB deployment. Furthermore, we analyzed the timing requirements specified for NR with the accuracies achievable with the TA based synchronization. We ended up with following observations and proposals:</w:t>
      </w:r>
    </w:p>
    <w:p w14:paraId="61E04174" w14:textId="77777777" w:rsidR="00A34ACA" w:rsidRDefault="00A34ACA" w:rsidP="00A34ACA">
      <w:pPr>
        <w:spacing w:after="120"/>
        <w:rPr>
          <w:b/>
          <w:lang w:val="en-US"/>
        </w:rPr>
      </w:pPr>
      <w:r w:rsidRPr="00B52C39">
        <w:rPr>
          <w:b/>
          <w:lang w:val="en-US"/>
        </w:rPr>
        <w:t xml:space="preserve">Observation 1: </w:t>
      </w:r>
      <w:r>
        <w:rPr>
          <w:b/>
          <w:lang w:val="en-US"/>
        </w:rPr>
        <w:t xml:space="preserve">NR cell selection and initial access procedures with </w:t>
      </w:r>
      <w:r w:rsidRPr="00B52C39">
        <w:rPr>
          <w:b/>
          <w:lang w:val="en-US"/>
        </w:rPr>
        <w:t xml:space="preserve">TA based IAB timing </w:t>
      </w:r>
      <w:r>
        <w:rPr>
          <w:b/>
          <w:lang w:val="en-US"/>
        </w:rPr>
        <w:t>adjustment can be used as the baseline for IAB synchronization.</w:t>
      </w:r>
    </w:p>
    <w:p w14:paraId="5AE18401" w14:textId="77777777" w:rsidR="00A34ACA" w:rsidRPr="005B4AEC" w:rsidRDefault="00A34ACA" w:rsidP="00A34ACA">
      <w:pPr>
        <w:rPr>
          <w:b/>
          <w:lang w:val="en-US"/>
        </w:rPr>
      </w:pPr>
      <w:r w:rsidRPr="005B4AEC">
        <w:rPr>
          <w:b/>
          <w:lang w:val="en-US"/>
        </w:rPr>
        <w:lastRenderedPageBreak/>
        <w:t>Observation</w:t>
      </w:r>
      <w:r>
        <w:rPr>
          <w:b/>
          <w:lang w:val="en-US"/>
        </w:rPr>
        <w:t xml:space="preserve"> 2</w:t>
      </w:r>
      <w:r w:rsidRPr="005B4AEC">
        <w:rPr>
          <w:b/>
          <w:lang w:val="en-US"/>
        </w:rPr>
        <w:t xml:space="preserve">. To </w:t>
      </w:r>
      <w:r>
        <w:rPr>
          <w:b/>
          <w:lang w:val="en-US"/>
        </w:rPr>
        <w:t>maintain network synchronizes DL in all cells</w:t>
      </w:r>
      <w:r w:rsidRPr="005B4AEC">
        <w:rPr>
          <w:b/>
          <w:lang w:val="en-US"/>
        </w:rPr>
        <w:t xml:space="preserve">, IAB nodes </w:t>
      </w:r>
      <w:r>
        <w:rPr>
          <w:b/>
          <w:lang w:val="en-US"/>
        </w:rPr>
        <w:t xml:space="preserve">should advance the DL TX timing by </w:t>
      </w:r>
      <w:r w:rsidRPr="005B4AEC">
        <w:rPr>
          <w:b/>
          <w:lang w:val="en-US"/>
        </w:rPr>
        <w:t xml:space="preserve">TA/2 </w:t>
      </w:r>
      <w:r>
        <w:rPr>
          <w:b/>
          <w:lang w:val="en-US"/>
        </w:rPr>
        <w:t>relative to the timing of the BH RX signal</w:t>
      </w:r>
      <w:r w:rsidRPr="005B4AEC">
        <w:rPr>
          <w:b/>
          <w:lang w:val="en-US"/>
        </w:rPr>
        <w:t>.</w:t>
      </w:r>
    </w:p>
    <w:p w14:paraId="34158C42" w14:textId="77777777" w:rsidR="00A34ACA" w:rsidRPr="005B4AEC" w:rsidRDefault="00A34ACA" w:rsidP="00A34ACA">
      <w:pPr>
        <w:rPr>
          <w:b/>
          <w:lang w:val="en-US"/>
        </w:rPr>
      </w:pPr>
      <w:r w:rsidRPr="005B4AEC">
        <w:rPr>
          <w:b/>
          <w:lang w:val="en-US"/>
        </w:rPr>
        <w:t>Observation</w:t>
      </w:r>
      <w:r>
        <w:rPr>
          <w:b/>
          <w:lang w:val="en-US"/>
        </w:rPr>
        <w:t xml:space="preserve"> 3</w:t>
      </w:r>
      <w:r w:rsidRPr="005B4AEC">
        <w:rPr>
          <w:b/>
          <w:lang w:val="en-US"/>
        </w:rPr>
        <w:t xml:space="preserve">. </w:t>
      </w:r>
      <w:r>
        <w:rPr>
          <w:b/>
          <w:lang w:val="en-US"/>
        </w:rPr>
        <w:t>The RX timing on downstream and upstream BH links will be different when maintaining the network synchronization and alignment of UL signals</w:t>
      </w:r>
      <w:r w:rsidRPr="005B4AEC">
        <w:rPr>
          <w:b/>
          <w:lang w:val="en-US"/>
        </w:rPr>
        <w:t>.</w:t>
      </w:r>
    </w:p>
    <w:p w14:paraId="1478D074" w14:textId="77777777" w:rsidR="00A34ACA" w:rsidRPr="005B4AEC" w:rsidRDefault="00A34ACA" w:rsidP="00A34ACA">
      <w:pPr>
        <w:rPr>
          <w:b/>
          <w:lang w:val="en-US"/>
        </w:rPr>
      </w:pPr>
      <w:r w:rsidRPr="005B4AEC">
        <w:rPr>
          <w:b/>
          <w:lang w:val="en-US"/>
        </w:rPr>
        <w:t>Observation</w:t>
      </w:r>
      <w:r>
        <w:rPr>
          <w:b/>
          <w:lang w:val="en-US"/>
        </w:rPr>
        <w:t xml:space="preserve"> 4</w:t>
      </w:r>
      <w:r w:rsidRPr="005B4AEC">
        <w:rPr>
          <w:b/>
          <w:lang w:val="en-US"/>
        </w:rPr>
        <w:t xml:space="preserve">. </w:t>
      </w:r>
      <w:r>
        <w:rPr>
          <w:b/>
          <w:lang w:val="en-US"/>
        </w:rPr>
        <w:t>To achieve normal synchronized network operation, the access link DL TX timing of an IAB node should be aligned with that of the Donor and other IAB nodes.</w:t>
      </w:r>
    </w:p>
    <w:p w14:paraId="66678892" w14:textId="50A1A2B2" w:rsidR="00A34ACA" w:rsidRPr="00C663A8" w:rsidRDefault="00A34ACA" w:rsidP="00A34ACA">
      <w:pPr>
        <w:spacing w:after="120"/>
        <w:rPr>
          <w:rFonts w:eastAsia="MS Mincho"/>
          <w:b/>
          <w:lang w:eastAsia="ja-JP"/>
        </w:rPr>
      </w:pPr>
      <w:r>
        <w:rPr>
          <w:rFonts w:eastAsia="MS Mincho"/>
          <w:b/>
          <w:lang w:eastAsia="ja-JP"/>
        </w:rPr>
        <w:t>Observation 5</w:t>
      </w:r>
      <w:r w:rsidRPr="00C663A8">
        <w:rPr>
          <w:rFonts w:eastAsia="MS Mincho"/>
          <w:b/>
          <w:lang w:eastAsia="ja-JP"/>
        </w:rPr>
        <w:t xml:space="preserve">. </w:t>
      </w:r>
      <w:r>
        <w:rPr>
          <w:rFonts w:eastAsia="MS Mincho"/>
          <w:b/>
          <w:lang w:eastAsia="ja-JP"/>
        </w:rPr>
        <w:t xml:space="preserve">Estimated timing errors are </w:t>
      </w:r>
      <w:r w:rsidRPr="00C663A8">
        <w:rPr>
          <w:rFonts w:eastAsia="MS Mincho"/>
          <w:b/>
          <w:lang w:eastAsia="ja-JP"/>
        </w:rPr>
        <w:t xml:space="preserve">shorter than the requirement for the </w:t>
      </w:r>
      <w:r>
        <w:rPr>
          <w:rFonts w:eastAsia="MS Mincho"/>
          <w:b/>
          <w:lang w:eastAsia="ja-JP"/>
        </w:rPr>
        <w:t xml:space="preserve">defined </w:t>
      </w:r>
      <w:r w:rsidRPr="00C663A8">
        <w:rPr>
          <w:rFonts w:eastAsia="MS Mincho"/>
          <w:b/>
          <w:lang w:eastAsia="ja-JP"/>
        </w:rPr>
        <w:t>cell phase synchronization accuracy.</w:t>
      </w:r>
    </w:p>
    <w:p w14:paraId="6EC91002" w14:textId="77777777" w:rsidR="00A34ACA" w:rsidRPr="00216B2E" w:rsidRDefault="00A34ACA" w:rsidP="00A34ACA">
      <w:pPr>
        <w:spacing w:after="120"/>
        <w:rPr>
          <w:rFonts w:eastAsia="MS Mincho"/>
          <w:b/>
          <w:lang w:eastAsia="ja-JP"/>
        </w:rPr>
      </w:pPr>
      <w:r>
        <w:rPr>
          <w:rFonts w:eastAsia="MS Mincho"/>
          <w:b/>
          <w:lang w:eastAsia="ja-JP"/>
        </w:rPr>
        <w:t>Observation 6</w:t>
      </w:r>
      <w:r w:rsidRPr="00216B2E">
        <w:rPr>
          <w:rFonts w:eastAsia="MS Mincho"/>
          <w:b/>
          <w:lang w:eastAsia="ja-JP"/>
        </w:rPr>
        <w:t>. TA based synchronization can support also multi-hop topologies in the anticipated IAB use cases and scenarios.</w:t>
      </w:r>
    </w:p>
    <w:p w14:paraId="6F17F961" w14:textId="77777777" w:rsidR="00E90924" w:rsidRDefault="00E90924" w:rsidP="00E90924">
      <w:pPr>
        <w:spacing w:after="120"/>
        <w:rPr>
          <w:rFonts w:eastAsia="MS Mincho"/>
          <w:b/>
          <w:lang w:eastAsia="ja-JP"/>
        </w:rPr>
      </w:pPr>
    </w:p>
    <w:p w14:paraId="6034D1B0" w14:textId="061C99A3" w:rsidR="00E90924" w:rsidRPr="00552309" w:rsidRDefault="00E90924" w:rsidP="00E90924">
      <w:pPr>
        <w:spacing w:after="120"/>
        <w:rPr>
          <w:rFonts w:eastAsia="MS Mincho"/>
          <w:b/>
          <w:lang w:eastAsia="ja-JP"/>
        </w:rPr>
      </w:pPr>
      <w:r>
        <w:rPr>
          <w:rFonts w:eastAsia="MS Mincho"/>
          <w:b/>
          <w:lang w:eastAsia="ja-JP"/>
        </w:rPr>
        <w:t>Proposal 1</w:t>
      </w:r>
      <w:r w:rsidRPr="00552309">
        <w:rPr>
          <w:rFonts w:eastAsia="MS Mincho"/>
          <w:b/>
          <w:lang w:eastAsia="ja-JP"/>
        </w:rPr>
        <w:t>.</w:t>
      </w:r>
      <w:r>
        <w:rPr>
          <w:rFonts w:eastAsia="MS Mincho"/>
          <w:b/>
          <w:lang w:eastAsia="ja-JP"/>
        </w:rPr>
        <w:t xml:space="preserve"> TA based synchronization </w:t>
      </w:r>
      <w:r w:rsidR="00184997">
        <w:rPr>
          <w:rFonts w:eastAsia="MS Mincho"/>
          <w:b/>
          <w:lang w:eastAsia="ja-JP"/>
        </w:rPr>
        <w:t>is</w:t>
      </w:r>
      <w:r>
        <w:rPr>
          <w:rFonts w:eastAsia="MS Mincho"/>
          <w:b/>
          <w:lang w:eastAsia="ja-JP"/>
        </w:rPr>
        <w:t xml:space="preserve"> taken as basis for IAB synchronization supporting also multi-hop scenarios</w:t>
      </w:r>
      <w:r w:rsidRPr="00552309">
        <w:rPr>
          <w:rFonts w:eastAsia="MS Mincho"/>
          <w:b/>
          <w:lang w:eastAsia="ja-JP"/>
        </w:rPr>
        <w:t>.</w:t>
      </w:r>
    </w:p>
    <w:p w14:paraId="0E08B4BA" w14:textId="38304AB9" w:rsidR="005E7117" w:rsidRPr="00E90924" w:rsidRDefault="005E7117" w:rsidP="006060C2">
      <w:pPr>
        <w:spacing w:after="120"/>
        <w:jc w:val="both"/>
      </w:pPr>
    </w:p>
    <w:p w14:paraId="76E67726" w14:textId="77777777" w:rsidR="00D7787C" w:rsidRPr="00724DF5" w:rsidRDefault="00D7787C" w:rsidP="00A2190A">
      <w:pPr>
        <w:spacing w:after="120"/>
        <w:jc w:val="both"/>
        <w:rPr>
          <w:bCs/>
          <w:i/>
        </w:rPr>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p w14:paraId="40D99FF0" w14:textId="741D720E" w:rsidR="00055676" w:rsidRDefault="00AC276B" w:rsidP="00AC276B">
      <w:pPr>
        <w:numPr>
          <w:ilvl w:val="0"/>
          <w:numId w:val="1"/>
        </w:numPr>
        <w:rPr>
          <w:sz w:val="18"/>
        </w:rPr>
      </w:pPr>
      <w:r w:rsidRPr="00AC276B">
        <w:rPr>
          <w:sz w:val="18"/>
          <w:lang w:eastAsia="zh-CN"/>
        </w:rPr>
        <w:t>RP-170821</w:t>
      </w:r>
      <w:r w:rsidR="00055676" w:rsidRPr="00013455">
        <w:rPr>
          <w:sz w:val="18"/>
          <w:lang w:eastAsia="zh-CN"/>
        </w:rPr>
        <w:t xml:space="preserve">, </w:t>
      </w:r>
      <w:r w:rsidR="00D060FF" w:rsidRPr="00013455">
        <w:rPr>
          <w:sz w:val="18"/>
          <w:lang w:eastAsia="zh-CN"/>
        </w:rPr>
        <w:t>“</w:t>
      </w:r>
      <w:r w:rsidRPr="00AC276B">
        <w:rPr>
          <w:i/>
          <w:sz w:val="18"/>
          <w:lang w:eastAsia="zh-CN"/>
        </w:rPr>
        <w:t>Study on Integrated Access and Backhaul for NR</w:t>
      </w:r>
      <w:r w:rsidR="00D060FF" w:rsidRPr="00013455">
        <w:rPr>
          <w:sz w:val="18"/>
          <w:lang w:eastAsia="zh-CN"/>
        </w:rPr>
        <w:t>”</w:t>
      </w:r>
      <w:r w:rsidR="00055676" w:rsidRPr="00013455">
        <w:rPr>
          <w:sz w:val="18"/>
          <w:lang w:eastAsia="zh-CN"/>
        </w:rPr>
        <w:t xml:space="preserve">, </w:t>
      </w:r>
      <w:r>
        <w:rPr>
          <w:sz w:val="18"/>
          <w:lang w:eastAsia="zh-CN"/>
        </w:rPr>
        <w:t>AT&amp;T, Qualcomm, Samsung</w:t>
      </w:r>
    </w:p>
    <w:p w14:paraId="0F24FF6B" w14:textId="52206120" w:rsidR="007802CC" w:rsidRDefault="007802CC" w:rsidP="00FD254A">
      <w:pPr>
        <w:numPr>
          <w:ilvl w:val="0"/>
          <w:numId w:val="1"/>
        </w:numPr>
        <w:rPr>
          <w:sz w:val="18"/>
        </w:rPr>
      </w:pPr>
      <w:bookmarkStart w:id="5" w:name="_Ref513026318"/>
      <w:bookmarkStart w:id="6" w:name="_Ref510514008"/>
      <w:r>
        <w:rPr>
          <w:sz w:val="18"/>
        </w:rPr>
        <w:t>R1-1804624, “</w:t>
      </w:r>
      <w:r w:rsidRPr="007802CC">
        <w:rPr>
          <w:i/>
          <w:sz w:val="18"/>
        </w:rPr>
        <w:t>IAB timing</w:t>
      </w:r>
      <w:r>
        <w:rPr>
          <w:sz w:val="18"/>
        </w:rPr>
        <w:t>”, Nokia, Nokia Shanghai Bell</w:t>
      </w:r>
      <w:bookmarkEnd w:id="5"/>
    </w:p>
    <w:p w14:paraId="10C1D8CD" w14:textId="3609020B" w:rsidR="005601F5" w:rsidRDefault="005601F5" w:rsidP="00FD254A">
      <w:pPr>
        <w:numPr>
          <w:ilvl w:val="0"/>
          <w:numId w:val="1"/>
        </w:numPr>
        <w:rPr>
          <w:sz w:val="18"/>
        </w:rPr>
      </w:pPr>
      <w:bookmarkStart w:id="7" w:name="_Ref513033675"/>
      <w:r>
        <w:rPr>
          <w:sz w:val="18"/>
        </w:rPr>
        <w:t>R1-1804755, “</w:t>
      </w:r>
      <w:r w:rsidRPr="005601F5">
        <w:rPr>
          <w:i/>
          <w:sz w:val="18"/>
        </w:rPr>
        <w:t>Overview on RAN1 related issues in IAB</w:t>
      </w:r>
      <w:r>
        <w:rPr>
          <w:sz w:val="18"/>
        </w:rPr>
        <w:t>”, Intel Corp.</w:t>
      </w:r>
      <w:bookmarkEnd w:id="7"/>
    </w:p>
    <w:p w14:paraId="5798A543" w14:textId="70705E3D" w:rsidR="0003163F" w:rsidRDefault="0003163F" w:rsidP="0003163F">
      <w:pPr>
        <w:numPr>
          <w:ilvl w:val="0"/>
          <w:numId w:val="1"/>
        </w:numPr>
        <w:rPr>
          <w:sz w:val="18"/>
        </w:rPr>
      </w:pPr>
      <w:bookmarkStart w:id="8" w:name="_Ref510007790"/>
      <w:bookmarkEnd w:id="6"/>
      <w:r w:rsidRPr="0003163F">
        <w:rPr>
          <w:sz w:val="18"/>
        </w:rPr>
        <w:t>TS 38.133</w:t>
      </w:r>
      <w:r>
        <w:rPr>
          <w:sz w:val="18"/>
        </w:rPr>
        <w:t>, “</w:t>
      </w:r>
      <w:r w:rsidRPr="0003163F">
        <w:rPr>
          <w:i/>
          <w:sz w:val="18"/>
        </w:rPr>
        <w:t>Requirements for support of radio resource management</w:t>
      </w:r>
      <w:r>
        <w:rPr>
          <w:sz w:val="18"/>
        </w:rPr>
        <w:t>”</w:t>
      </w:r>
      <w:bookmarkEnd w:id="8"/>
    </w:p>
    <w:p w14:paraId="21DC4B6A" w14:textId="34CA2CB5" w:rsidR="00BE41EC" w:rsidRPr="0003163F" w:rsidRDefault="00BE41EC" w:rsidP="0003163F">
      <w:pPr>
        <w:numPr>
          <w:ilvl w:val="0"/>
          <w:numId w:val="1"/>
        </w:numPr>
        <w:rPr>
          <w:sz w:val="18"/>
        </w:rPr>
      </w:pPr>
      <w:bookmarkStart w:id="9" w:name="_Ref510082082"/>
      <w:r>
        <w:rPr>
          <w:sz w:val="18"/>
        </w:rPr>
        <w:t>R1-1803554 TS 38.213, “</w:t>
      </w:r>
      <w:r w:rsidRPr="00216B2E">
        <w:rPr>
          <w:i/>
          <w:sz w:val="18"/>
        </w:rPr>
        <w:t>Physical layer procedures for control</w:t>
      </w:r>
      <w:r>
        <w:rPr>
          <w:sz w:val="18"/>
        </w:rPr>
        <w:t>”</w:t>
      </w:r>
      <w:bookmarkEnd w:id="9"/>
    </w:p>
    <w:p w14:paraId="288354F3" w14:textId="127F9CE0" w:rsidR="00205F67" w:rsidRPr="0087238A" w:rsidRDefault="00205F67" w:rsidP="00FD254A">
      <w:pPr>
        <w:pStyle w:val="references"/>
        <w:numPr>
          <w:ilvl w:val="0"/>
          <w:numId w:val="0"/>
        </w:numPr>
        <w:autoSpaceDE w:val="0"/>
        <w:autoSpaceDN w:val="0"/>
        <w:adjustRightInd w:val="0"/>
        <w:rPr>
          <w:sz w:val="18"/>
          <w:szCs w:val="18"/>
          <w:lang w:val="en-GB"/>
        </w:rPr>
      </w:pPr>
    </w:p>
    <w:sectPr w:rsidR="00205F67" w:rsidRPr="0087238A" w:rsidSect="000131D1">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335C6" w14:textId="77777777" w:rsidR="00646A5E" w:rsidRDefault="00646A5E">
      <w:r>
        <w:separator/>
      </w:r>
    </w:p>
  </w:endnote>
  <w:endnote w:type="continuationSeparator" w:id="0">
    <w:p w14:paraId="2B67B008" w14:textId="77777777" w:rsidR="00646A5E" w:rsidRDefault="00646A5E">
      <w:r>
        <w:continuationSeparator/>
      </w:r>
    </w:p>
  </w:endnote>
  <w:endnote w:type="continuationNotice" w:id="1">
    <w:p w14:paraId="72CD2671" w14:textId="77777777" w:rsidR="00646A5E" w:rsidRDefault="00646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2BE6BF8" w:rsidR="00FB4407" w:rsidRDefault="00B75603">
    <w:pPr>
      <w:pStyle w:val="Footer"/>
    </w:pPr>
    <w:r>
      <mc:AlternateContent>
        <mc:Choice Requires="wps">
          <w:drawing>
            <wp:anchor distT="0" distB="0" distL="114300" distR="114300" simplePos="0" relativeHeight="251659264"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3C8AB1B8" w:rsidR="00B75603" w:rsidRPr="00B75603" w:rsidRDefault="00B75603"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3C8AB1B8" w:rsidR="00B75603" w:rsidRPr="00B75603" w:rsidRDefault="00B75603"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7525B" w14:textId="77777777" w:rsidR="00646A5E" w:rsidRDefault="00646A5E">
      <w:r>
        <w:separator/>
      </w:r>
    </w:p>
  </w:footnote>
  <w:footnote w:type="continuationSeparator" w:id="0">
    <w:p w14:paraId="2DAD7305" w14:textId="77777777" w:rsidR="00646A5E" w:rsidRDefault="00646A5E">
      <w:r>
        <w:continuationSeparator/>
      </w:r>
    </w:p>
  </w:footnote>
  <w:footnote w:type="continuationNotice" w:id="1">
    <w:p w14:paraId="28BB230C" w14:textId="77777777" w:rsidR="00646A5E" w:rsidRDefault="00646A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27430E"/>
    <w:multiLevelType w:val="hybridMultilevel"/>
    <w:tmpl w:val="375C4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A34AF9"/>
    <w:multiLevelType w:val="hybridMultilevel"/>
    <w:tmpl w:val="8B16718A"/>
    <w:lvl w:ilvl="0" w:tplc="8F0C5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3" w15:restartNumberingAfterBreak="0">
    <w:nsid w:val="30FD17B5"/>
    <w:multiLevelType w:val="hybridMultilevel"/>
    <w:tmpl w:val="8130AD08"/>
    <w:lvl w:ilvl="0" w:tplc="9D44A46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23"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7"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6"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37" w15:restartNumberingAfterBreak="0">
    <w:nsid w:val="6AE10B18"/>
    <w:multiLevelType w:val="hybridMultilevel"/>
    <w:tmpl w:val="2AC64B46"/>
    <w:lvl w:ilvl="0" w:tplc="2DE87A4C">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5"/>
  </w:num>
  <w:num w:numId="2">
    <w:abstractNumId w:val="31"/>
  </w:num>
  <w:num w:numId="3">
    <w:abstractNumId w:val="4"/>
  </w:num>
  <w:num w:numId="4">
    <w:abstractNumId w:val="30"/>
  </w:num>
  <w:num w:numId="5">
    <w:abstractNumId w:val="20"/>
  </w:num>
  <w:num w:numId="6">
    <w:abstractNumId w:val="38"/>
  </w:num>
  <w:num w:numId="7">
    <w:abstractNumId w:val="1"/>
  </w:num>
  <w:num w:numId="8">
    <w:abstractNumId w:val="22"/>
  </w:num>
  <w:num w:numId="9">
    <w:abstractNumId w:val="25"/>
  </w:num>
  <w:num w:numId="10">
    <w:abstractNumId w:val="5"/>
  </w:num>
  <w:num w:numId="11">
    <w:abstractNumId w:val="23"/>
  </w:num>
  <w:num w:numId="12">
    <w:abstractNumId w:val="18"/>
  </w:num>
  <w:num w:numId="13">
    <w:abstractNumId w:val="19"/>
  </w:num>
  <w:num w:numId="14">
    <w:abstractNumId w:val="26"/>
  </w:num>
  <w:num w:numId="15">
    <w:abstractNumId w:val="14"/>
  </w:num>
  <w:num w:numId="16">
    <w:abstractNumId w:val="7"/>
  </w:num>
  <w:num w:numId="17">
    <w:abstractNumId w:val="28"/>
  </w:num>
  <w:num w:numId="18">
    <w:abstractNumId w:val="33"/>
  </w:num>
  <w:num w:numId="19">
    <w:abstractNumId w:val="24"/>
  </w:num>
  <w:num w:numId="20">
    <w:abstractNumId w:val="29"/>
  </w:num>
  <w:num w:numId="21">
    <w:abstractNumId w:val="27"/>
  </w:num>
  <w:num w:numId="22">
    <w:abstractNumId w:val="16"/>
  </w:num>
  <w:num w:numId="23">
    <w:abstractNumId w:val="36"/>
  </w:num>
  <w:num w:numId="24">
    <w:abstractNumId w:val="21"/>
  </w:num>
  <w:num w:numId="25">
    <w:abstractNumId w:val="12"/>
  </w:num>
  <w:num w:numId="26">
    <w:abstractNumId w:val="34"/>
  </w:num>
  <w:num w:numId="27">
    <w:abstractNumId w:val="6"/>
  </w:num>
  <w:num w:numId="28">
    <w:abstractNumId w:val="17"/>
  </w:num>
  <w:num w:numId="29">
    <w:abstractNumId w:val="39"/>
  </w:num>
  <w:num w:numId="30">
    <w:abstractNumId w:val="32"/>
  </w:num>
  <w:num w:numId="31">
    <w:abstractNumId w:val="3"/>
  </w:num>
  <w:num w:numId="32">
    <w:abstractNumId w:val="35"/>
  </w:num>
  <w:num w:numId="33">
    <w:abstractNumId w:val="2"/>
  </w:num>
  <w:num w:numId="34">
    <w:abstractNumId w:val="11"/>
  </w:num>
  <w:num w:numId="35">
    <w:abstractNumId w:val="10"/>
  </w:num>
  <w:num w:numId="36">
    <w:abstractNumId w:val="0"/>
  </w:num>
  <w:num w:numId="37">
    <w:abstractNumId w:val="9"/>
  </w:num>
  <w:num w:numId="38">
    <w:abstractNumId w:val="13"/>
  </w:num>
  <w:num w:numId="39">
    <w:abstractNumId w:val="37"/>
  </w:num>
  <w:num w:numId="4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FA9"/>
    <w:rsid w:val="000021F9"/>
    <w:rsid w:val="00004AC8"/>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5BE"/>
    <w:rsid w:val="00021662"/>
    <w:rsid w:val="00022DCB"/>
    <w:rsid w:val="00023742"/>
    <w:rsid w:val="00024AEF"/>
    <w:rsid w:val="00026C65"/>
    <w:rsid w:val="00027755"/>
    <w:rsid w:val="000277A9"/>
    <w:rsid w:val="00030048"/>
    <w:rsid w:val="0003072D"/>
    <w:rsid w:val="000314CD"/>
    <w:rsid w:val="0003163F"/>
    <w:rsid w:val="000317E7"/>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B59"/>
    <w:rsid w:val="00054D9D"/>
    <w:rsid w:val="00055676"/>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37C9"/>
    <w:rsid w:val="0007494F"/>
    <w:rsid w:val="00075FDA"/>
    <w:rsid w:val="00076386"/>
    <w:rsid w:val="00076D82"/>
    <w:rsid w:val="00077655"/>
    <w:rsid w:val="00080284"/>
    <w:rsid w:val="00081EC2"/>
    <w:rsid w:val="000823FE"/>
    <w:rsid w:val="000825E2"/>
    <w:rsid w:val="00082B41"/>
    <w:rsid w:val="00083800"/>
    <w:rsid w:val="00084A65"/>
    <w:rsid w:val="00085090"/>
    <w:rsid w:val="00086572"/>
    <w:rsid w:val="00090EDD"/>
    <w:rsid w:val="00091A92"/>
    <w:rsid w:val="00093C49"/>
    <w:rsid w:val="0009508C"/>
    <w:rsid w:val="00095A80"/>
    <w:rsid w:val="000973C8"/>
    <w:rsid w:val="000973E1"/>
    <w:rsid w:val="0009774C"/>
    <w:rsid w:val="000A1402"/>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1D59"/>
    <w:rsid w:val="000C347C"/>
    <w:rsid w:val="000C4AEB"/>
    <w:rsid w:val="000C501D"/>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E071E"/>
    <w:rsid w:val="000E27AA"/>
    <w:rsid w:val="000E337A"/>
    <w:rsid w:val="000E3456"/>
    <w:rsid w:val="000E4350"/>
    <w:rsid w:val="000E4408"/>
    <w:rsid w:val="000E5716"/>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40E4"/>
    <w:rsid w:val="00155464"/>
    <w:rsid w:val="00155BFD"/>
    <w:rsid w:val="00157390"/>
    <w:rsid w:val="00160998"/>
    <w:rsid w:val="00160CD6"/>
    <w:rsid w:val="0016316A"/>
    <w:rsid w:val="00164171"/>
    <w:rsid w:val="00164DC9"/>
    <w:rsid w:val="00164E58"/>
    <w:rsid w:val="00165033"/>
    <w:rsid w:val="00165B18"/>
    <w:rsid w:val="001670EA"/>
    <w:rsid w:val="001674A0"/>
    <w:rsid w:val="00170205"/>
    <w:rsid w:val="00170A50"/>
    <w:rsid w:val="0017157A"/>
    <w:rsid w:val="00171F0C"/>
    <w:rsid w:val="00174FFD"/>
    <w:rsid w:val="001759CA"/>
    <w:rsid w:val="00176E51"/>
    <w:rsid w:val="0017726A"/>
    <w:rsid w:val="00177B88"/>
    <w:rsid w:val="00177DD3"/>
    <w:rsid w:val="00180278"/>
    <w:rsid w:val="001818A7"/>
    <w:rsid w:val="00182725"/>
    <w:rsid w:val="001829C8"/>
    <w:rsid w:val="00182CA0"/>
    <w:rsid w:val="00183FB0"/>
    <w:rsid w:val="00184098"/>
    <w:rsid w:val="00184997"/>
    <w:rsid w:val="00185D8A"/>
    <w:rsid w:val="00186904"/>
    <w:rsid w:val="00186B0A"/>
    <w:rsid w:val="001905BD"/>
    <w:rsid w:val="00190946"/>
    <w:rsid w:val="001925BD"/>
    <w:rsid w:val="00192699"/>
    <w:rsid w:val="00192FE6"/>
    <w:rsid w:val="00193451"/>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18A9"/>
    <w:rsid w:val="001C226F"/>
    <w:rsid w:val="001C4130"/>
    <w:rsid w:val="001C52F3"/>
    <w:rsid w:val="001C66AC"/>
    <w:rsid w:val="001C6754"/>
    <w:rsid w:val="001C77F0"/>
    <w:rsid w:val="001C7A39"/>
    <w:rsid w:val="001D1B8A"/>
    <w:rsid w:val="001D2304"/>
    <w:rsid w:val="001D2B7D"/>
    <w:rsid w:val="001D46A0"/>
    <w:rsid w:val="001D4E22"/>
    <w:rsid w:val="001D5FB0"/>
    <w:rsid w:val="001D689E"/>
    <w:rsid w:val="001D7CA4"/>
    <w:rsid w:val="001D7E58"/>
    <w:rsid w:val="001E1791"/>
    <w:rsid w:val="001E30A0"/>
    <w:rsid w:val="001E3F75"/>
    <w:rsid w:val="001E4D4F"/>
    <w:rsid w:val="001E57CF"/>
    <w:rsid w:val="001E5981"/>
    <w:rsid w:val="001E74BA"/>
    <w:rsid w:val="001E7B9F"/>
    <w:rsid w:val="001F01FB"/>
    <w:rsid w:val="001F0658"/>
    <w:rsid w:val="001F0E92"/>
    <w:rsid w:val="001F1306"/>
    <w:rsid w:val="001F1987"/>
    <w:rsid w:val="001F23BD"/>
    <w:rsid w:val="001F34DA"/>
    <w:rsid w:val="001F4DAC"/>
    <w:rsid w:val="001F5019"/>
    <w:rsid w:val="001F53CA"/>
    <w:rsid w:val="001F650F"/>
    <w:rsid w:val="001F67AA"/>
    <w:rsid w:val="001F7599"/>
    <w:rsid w:val="00204B3A"/>
    <w:rsid w:val="00204E26"/>
    <w:rsid w:val="0020535A"/>
    <w:rsid w:val="00205F67"/>
    <w:rsid w:val="00206955"/>
    <w:rsid w:val="00210309"/>
    <w:rsid w:val="00212FB8"/>
    <w:rsid w:val="00213709"/>
    <w:rsid w:val="002149AF"/>
    <w:rsid w:val="00214A86"/>
    <w:rsid w:val="00215664"/>
    <w:rsid w:val="00215AAA"/>
    <w:rsid w:val="0021683C"/>
    <w:rsid w:val="00216B2E"/>
    <w:rsid w:val="00220E52"/>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D0E"/>
    <w:rsid w:val="00236450"/>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60D5"/>
    <w:rsid w:val="00296371"/>
    <w:rsid w:val="0029687F"/>
    <w:rsid w:val="002A1062"/>
    <w:rsid w:val="002A2012"/>
    <w:rsid w:val="002A2413"/>
    <w:rsid w:val="002A2F5E"/>
    <w:rsid w:val="002A352A"/>
    <w:rsid w:val="002A607D"/>
    <w:rsid w:val="002A7D9C"/>
    <w:rsid w:val="002B132E"/>
    <w:rsid w:val="002B2813"/>
    <w:rsid w:val="002B2D29"/>
    <w:rsid w:val="002B3B5A"/>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FA1"/>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EA8"/>
    <w:rsid w:val="003363DD"/>
    <w:rsid w:val="003365DB"/>
    <w:rsid w:val="00340361"/>
    <w:rsid w:val="00340795"/>
    <w:rsid w:val="00340D5F"/>
    <w:rsid w:val="0034111C"/>
    <w:rsid w:val="00341E60"/>
    <w:rsid w:val="0034217F"/>
    <w:rsid w:val="00342AD2"/>
    <w:rsid w:val="00343954"/>
    <w:rsid w:val="00345405"/>
    <w:rsid w:val="00345612"/>
    <w:rsid w:val="00345DDD"/>
    <w:rsid w:val="00346FED"/>
    <w:rsid w:val="0035007F"/>
    <w:rsid w:val="00351E01"/>
    <w:rsid w:val="0035274C"/>
    <w:rsid w:val="00352D21"/>
    <w:rsid w:val="0035443D"/>
    <w:rsid w:val="00354FEE"/>
    <w:rsid w:val="0035536A"/>
    <w:rsid w:val="00356275"/>
    <w:rsid w:val="003569B7"/>
    <w:rsid w:val="00356B54"/>
    <w:rsid w:val="00356C0B"/>
    <w:rsid w:val="00357B9C"/>
    <w:rsid w:val="00361412"/>
    <w:rsid w:val="003615CA"/>
    <w:rsid w:val="00363346"/>
    <w:rsid w:val="003642A6"/>
    <w:rsid w:val="00364853"/>
    <w:rsid w:val="00367337"/>
    <w:rsid w:val="00367367"/>
    <w:rsid w:val="00367FD8"/>
    <w:rsid w:val="00370B63"/>
    <w:rsid w:val="00370FCC"/>
    <w:rsid w:val="003711AF"/>
    <w:rsid w:val="00371364"/>
    <w:rsid w:val="003733E5"/>
    <w:rsid w:val="00374848"/>
    <w:rsid w:val="003757B7"/>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6EAE"/>
    <w:rsid w:val="00397AB6"/>
    <w:rsid w:val="00397ACA"/>
    <w:rsid w:val="003A10C3"/>
    <w:rsid w:val="003A597F"/>
    <w:rsid w:val="003A71A8"/>
    <w:rsid w:val="003A7926"/>
    <w:rsid w:val="003B00CA"/>
    <w:rsid w:val="003B030B"/>
    <w:rsid w:val="003B0432"/>
    <w:rsid w:val="003B05D9"/>
    <w:rsid w:val="003B0821"/>
    <w:rsid w:val="003B0BE9"/>
    <w:rsid w:val="003B0DAF"/>
    <w:rsid w:val="003B19F8"/>
    <w:rsid w:val="003B2E9B"/>
    <w:rsid w:val="003B2F8D"/>
    <w:rsid w:val="003B4778"/>
    <w:rsid w:val="003B4FAA"/>
    <w:rsid w:val="003B547A"/>
    <w:rsid w:val="003B68C8"/>
    <w:rsid w:val="003B6CB0"/>
    <w:rsid w:val="003B75B9"/>
    <w:rsid w:val="003C0DA2"/>
    <w:rsid w:val="003C0DBA"/>
    <w:rsid w:val="003C1A18"/>
    <w:rsid w:val="003C3261"/>
    <w:rsid w:val="003C5A08"/>
    <w:rsid w:val="003C5C41"/>
    <w:rsid w:val="003C7461"/>
    <w:rsid w:val="003D0788"/>
    <w:rsid w:val="003D0E0F"/>
    <w:rsid w:val="003D132A"/>
    <w:rsid w:val="003D1517"/>
    <w:rsid w:val="003D2938"/>
    <w:rsid w:val="003D2C75"/>
    <w:rsid w:val="003D3FBA"/>
    <w:rsid w:val="003D402B"/>
    <w:rsid w:val="003D4444"/>
    <w:rsid w:val="003D764F"/>
    <w:rsid w:val="003D7D81"/>
    <w:rsid w:val="003E04EB"/>
    <w:rsid w:val="003E0667"/>
    <w:rsid w:val="003E0BCE"/>
    <w:rsid w:val="003E13E0"/>
    <w:rsid w:val="003E1660"/>
    <w:rsid w:val="003E1CD1"/>
    <w:rsid w:val="003E2A2D"/>
    <w:rsid w:val="003E2EEE"/>
    <w:rsid w:val="003E40BD"/>
    <w:rsid w:val="003E473F"/>
    <w:rsid w:val="003E521F"/>
    <w:rsid w:val="003E64A9"/>
    <w:rsid w:val="003E7002"/>
    <w:rsid w:val="003E7905"/>
    <w:rsid w:val="003F0336"/>
    <w:rsid w:val="003F2147"/>
    <w:rsid w:val="003F4488"/>
    <w:rsid w:val="003F53EE"/>
    <w:rsid w:val="003F5547"/>
    <w:rsid w:val="003F5C40"/>
    <w:rsid w:val="003F6E12"/>
    <w:rsid w:val="003F75ED"/>
    <w:rsid w:val="004002B7"/>
    <w:rsid w:val="00400F31"/>
    <w:rsid w:val="004012AE"/>
    <w:rsid w:val="0040130A"/>
    <w:rsid w:val="00402295"/>
    <w:rsid w:val="00406B4D"/>
    <w:rsid w:val="00407F6A"/>
    <w:rsid w:val="0041443C"/>
    <w:rsid w:val="004154F7"/>
    <w:rsid w:val="00416D44"/>
    <w:rsid w:val="004176FF"/>
    <w:rsid w:val="00421A27"/>
    <w:rsid w:val="00421D0A"/>
    <w:rsid w:val="004221AD"/>
    <w:rsid w:val="004229D8"/>
    <w:rsid w:val="0042416C"/>
    <w:rsid w:val="004241C5"/>
    <w:rsid w:val="00424FA7"/>
    <w:rsid w:val="00424FBD"/>
    <w:rsid w:val="00426A87"/>
    <w:rsid w:val="004309D8"/>
    <w:rsid w:val="004313D1"/>
    <w:rsid w:val="00431FD5"/>
    <w:rsid w:val="00432110"/>
    <w:rsid w:val="00433EBE"/>
    <w:rsid w:val="00434406"/>
    <w:rsid w:val="0043751F"/>
    <w:rsid w:val="00440FED"/>
    <w:rsid w:val="00441194"/>
    <w:rsid w:val="00441B0A"/>
    <w:rsid w:val="00441B92"/>
    <w:rsid w:val="00442607"/>
    <w:rsid w:val="0044474B"/>
    <w:rsid w:val="00445FF7"/>
    <w:rsid w:val="004501CE"/>
    <w:rsid w:val="00453341"/>
    <w:rsid w:val="004545C6"/>
    <w:rsid w:val="00454DCA"/>
    <w:rsid w:val="00455B17"/>
    <w:rsid w:val="00455FE9"/>
    <w:rsid w:val="004561C0"/>
    <w:rsid w:val="00456544"/>
    <w:rsid w:val="00456649"/>
    <w:rsid w:val="004567B7"/>
    <w:rsid w:val="00456856"/>
    <w:rsid w:val="00457810"/>
    <w:rsid w:val="00460839"/>
    <w:rsid w:val="00461210"/>
    <w:rsid w:val="00462490"/>
    <w:rsid w:val="00462A0A"/>
    <w:rsid w:val="00463F47"/>
    <w:rsid w:val="00464DB6"/>
    <w:rsid w:val="00465299"/>
    <w:rsid w:val="00466A0F"/>
    <w:rsid w:val="0046795B"/>
    <w:rsid w:val="004708C0"/>
    <w:rsid w:val="004715CB"/>
    <w:rsid w:val="00471863"/>
    <w:rsid w:val="00472233"/>
    <w:rsid w:val="00473353"/>
    <w:rsid w:val="00473A14"/>
    <w:rsid w:val="00474CA8"/>
    <w:rsid w:val="00474E43"/>
    <w:rsid w:val="00475A4A"/>
    <w:rsid w:val="0048076D"/>
    <w:rsid w:val="00481A3B"/>
    <w:rsid w:val="00481C24"/>
    <w:rsid w:val="00481D90"/>
    <w:rsid w:val="00481E96"/>
    <w:rsid w:val="00482CD4"/>
    <w:rsid w:val="00483261"/>
    <w:rsid w:val="00484021"/>
    <w:rsid w:val="00485843"/>
    <w:rsid w:val="00485B23"/>
    <w:rsid w:val="0048630D"/>
    <w:rsid w:val="00486FF4"/>
    <w:rsid w:val="004874E4"/>
    <w:rsid w:val="0049070D"/>
    <w:rsid w:val="004914A9"/>
    <w:rsid w:val="00491BE4"/>
    <w:rsid w:val="00491DB2"/>
    <w:rsid w:val="00492877"/>
    <w:rsid w:val="0049639A"/>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5E52"/>
    <w:rsid w:val="004B7455"/>
    <w:rsid w:val="004B74FF"/>
    <w:rsid w:val="004B787C"/>
    <w:rsid w:val="004B7CE4"/>
    <w:rsid w:val="004C0401"/>
    <w:rsid w:val="004C0C49"/>
    <w:rsid w:val="004C183D"/>
    <w:rsid w:val="004C2669"/>
    <w:rsid w:val="004C396E"/>
    <w:rsid w:val="004C3AE2"/>
    <w:rsid w:val="004C3EC7"/>
    <w:rsid w:val="004C3EEE"/>
    <w:rsid w:val="004C483D"/>
    <w:rsid w:val="004C4EF9"/>
    <w:rsid w:val="004C6AB8"/>
    <w:rsid w:val="004C6C7D"/>
    <w:rsid w:val="004C795A"/>
    <w:rsid w:val="004C7F93"/>
    <w:rsid w:val="004D26B8"/>
    <w:rsid w:val="004D38C2"/>
    <w:rsid w:val="004D4FBD"/>
    <w:rsid w:val="004D4FC0"/>
    <w:rsid w:val="004D7DA8"/>
    <w:rsid w:val="004E2892"/>
    <w:rsid w:val="004E362B"/>
    <w:rsid w:val="004E3681"/>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5C15"/>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541"/>
    <w:rsid w:val="00540B5A"/>
    <w:rsid w:val="005420DE"/>
    <w:rsid w:val="00542249"/>
    <w:rsid w:val="005431F5"/>
    <w:rsid w:val="00543707"/>
    <w:rsid w:val="00543EBB"/>
    <w:rsid w:val="00544213"/>
    <w:rsid w:val="005453F3"/>
    <w:rsid w:val="00545549"/>
    <w:rsid w:val="00546312"/>
    <w:rsid w:val="005467DC"/>
    <w:rsid w:val="005469F5"/>
    <w:rsid w:val="00546A74"/>
    <w:rsid w:val="005518ED"/>
    <w:rsid w:val="00552093"/>
    <w:rsid w:val="00552309"/>
    <w:rsid w:val="00554E4B"/>
    <w:rsid w:val="00555F67"/>
    <w:rsid w:val="00556605"/>
    <w:rsid w:val="00556CC5"/>
    <w:rsid w:val="005601AC"/>
    <w:rsid w:val="005601F5"/>
    <w:rsid w:val="005606A4"/>
    <w:rsid w:val="005607B8"/>
    <w:rsid w:val="00560CF5"/>
    <w:rsid w:val="00562330"/>
    <w:rsid w:val="0056272D"/>
    <w:rsid w:val="00562BAB"/>
    <w:rsid w:val="0056308E"/>
    <w:rsid w:val="00563303"/>
    <w:rsid w:val="005638C1"/>
    <w:rsid w:val="0056415C"/>
    <w:rsid w:val="005649BF"/>
    <w:rsid w:val="005650ED"/>
    <w:rsid w:val="00565869"/>
    <w:rsid w:val="00567415"/>
    <w:rsid w:val="00567610"/>
    <w:rsid w:val="00570D9F"/>
    <w:rsid w:val="00571CA8"/>
    <w:rsid w:val="005734C0"/>
    <w:rsid w:val="00573E71"/>
    <w:rsid w:val="00574BA6"/>
    <w:rsid w:val="00580793"/>
    <w:rsid w:val="00581470"/>
    <w:rsid w:val="00581893"/>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2D6D"/>
    <w:rsid w:val="005A34D5"/>
    <w:rsid w:val="005A4904"/>
    <w:rsid w:val="005A4959"/>
    <w:rsid w:val="005A515A"/>
    <w:rsid w:val="005A6120"/>
    <w:rsid w:val="005A6BC4"/>
    <w:rsid w:val="005A704D"/>
    <w:rsid w:val="005B1FF6"/>
    <w:rsid w:val="005B303B"/>
    <w:rsid w:val="005B3C6D"/>
    <w:rsid w:val="005B4045"/>
    <w:rsid w:val="005B49A7"/>
    <w:rsid w:val="005B4AEC"/>
    <w:rsid w:val="005B609E"/>
    <w:rsid w:val="005B6DF6"/>
    <w:rsid w:val="005B6EA6"/>
    <w:rsid w:val="005B780E"/>
    <w:rsid w:val="005B7B7D"/>
    <w:rsid w:val="005C1948"/>
    <w:rsid w:val="005C19A5"/>
    <w:rsid w:val="005C263C"/>
    <w:rsid w:val="005C2679"/>
    <w:rsid w:val="005C41D4"/>
    <w:rsid w:val="005C6FAD"/>
    <w:rsid w:val="005D0079"/>
    <w:rsid w:val="005D059A"/>
    <w:rsid w:val="005D07AE"/>
    <w:rsid w:val="005D07C5"/>
    <w:rsid w:val="005D1478"/>
    <w:rsid w:val="005D1FF8"/>
    <w:rsid w:val="005D4213"/>
    <w:rsid w:val="005D4302"/>
    <w:rsid w:val="005D5A20"/>
    <w:rsid w:val="005D612D"/>
    <w:rsid w:val="005D6F3E"/>
    <w:rsid w:val="005D786C"/>
    <w:rsid w:val="005E00E5"/>
    <w:rsid w:val="005E049F"/>
    <w:rsid w:val="005E1588"/>
    <w:rsid w:val="005E3073"/>
    <w:rsid w:val="005E316A"/>
    <w:rsid w:val="005E5E1A"/>
    <w:rsid w:val="005E6C16"/>
    <w:rsid w:val="005E7117"/>
    <w:rsid w:val="005E746D"/>
    <w:rsid w:val="005F0108"/>
    <w:rsid w:val="005F0ECC"/>
    <w:rsid w:val="005F21A5"/>
    <w:rsid w:val="005F2470"/>
    <w:rsid w:val="005F28C6"/>
    <w:rsid w:val="005F3F16"/>
    <w:rsid w:val="005F5241"/>
    <w:rsid w:val="005F52CC"/>
    <w:rsid w:val="005F5E6F"/>
    <w:rsid w:val="005F6BD4"/>
    <w:rsid w:val="005F77B0"/>
    <w:rsid w:val="005F7985"/>
    <w:rsid w:val="0060004D"/>
    <w:rsid w:val="00600CEB"/>
    <w:rsid w:val="00602A84"/>
    <w:rsid w:val="00602AA1"/>
    <w:rsid w:val="00602B30"/>
    <w:rsid w:val="00603131"/>
    <w:rsid w:val="00604367"/>
    <w:rsid w:val="006044BE"/>
    <w:rsid w:val="0060475F"/>
    <w:rsid w:val="006060C2"/>
    <w:rsid w:val="00606A26"/>
    <w:rsid w:val="00606AC6"/>
    <w:rsid w:val="00606CC0"/>
    <w:rsid w:val="00607D81"/>
    <w:rsid w:val="00610747"/>
    <w:rsid w:val="00610E03"/>
    <w:rsid w:val="00610EC7"/>
    <w:rsid w:val="0061176E"/>
    <w:rsid w:val="00612A14"/>
    <w:rsid w:val="0061417F"/>
    <w:rsid w:val="00614CD1"/>
    <w:rsid w:val="0061567B"/>
    <w:rsid w:val="00616921"/>
    <w:rsid w:val="0062152A"/>
    <w:rsid w:val="00621893"/>
    <w:rsid w:val="00623583"/>
    <w:rsid w:val="0062462F"/>
    <w:rsid w:val="00624BA1"/>
    <w:rsid w:val="006257E9"/>
    <w:rsid w:val="0062661B"/>
    <w:rsid w:val="00626D80"/>
    <w:rsid w:val="00627717"/>
    <w:rsid w:val="00630118"/>
    <w:rsid w:val="006310AE"/>
    <w:rsid w:val="00631762"/>
    <w:rsid w:val="00632196"/>
    <w:rsid w:val="00632FD1"/>
    <w:rsid w:val="00633BF2"/>
    <w:rsid w:val="00633F67"/>
    <w:rsid w:val="006345C3"/>
    <w:rsid w:val="006362F9"/>
    <w:rsid w:val="006369A9"/>
    <w:rsid w:val="006373CD"/>
    <w:rsid w:val="0063747D"/>
    <w:rsid w:val="0064165D"/>
    <w:rsid w:val="006433BD"/>
    <w:rsid w:val="00643784"/>
    <w:rsid w:val="00644186"/>
    <w:rsid w:val="00644A21"/>
    <w:rsid w:val="006452EE"/>
    <w:rsid w:val="00645C9F"/>
    <w:rsid w:val="00646305"/>
    <w:rsid w:val="006463D6"/>
    <w:rsid w:val="00646A5E"/>
    <w:rsid w:val="00646A6C"/>
    <w:rsid w:val="00646F20"/>
    <w:rsid w:val="006475E6"/>
    <w:rsid w:val="006508B9"/>
    <w:rsid w:val="00650CA1"/>
    <w:rsid w:val="00651854"/>
    <w:rsid w:val="006539E8"/>
    <w:rsid w:val="006563F3"/>
    <w:rsid w:val="006565D8"/>
    <w:rsid w:val="00656B96"/>
    <w:rsid w:val="00656CF4"/>
    <w:rsid w:val="0065736B"/>
    <w:rsid w:val="00657AE5"/>
    <w:rsid w:val="006619B0"/>
    <w:rsid w:val="00661B9B"/>
    <w:rsid w:val="00662012"/>
    <w:rsid w:val="00662543"/>
    <w:rsid w:val="006626D0"/>
    <w:rsid w:val="00664E8C"/>
    <w:rsid w:val="006650D3"/>
    <w:rsid w:val="00665138"/>
    <w:rsid w:val="0066528A"/>
    <w:rsid w:val="00665F7C"/>
    <w:rsid w:val="0066699A"/>
    <w:rsid w:val="00666DFC"/>
    <w:rsid w:val="00666EBB"/>
    <w:rsid w:val="00666F7A"/>
    <w:rsid w:val="00667385"/>
    <w:rsid w:val="0066779E"/>
    <w:rsid w:val="0067269D"/>
    <w:rsid w:val="00672746"/>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9011A"/>
    <w:rsid w:val="00690E2E"/>
    <w:rsid w:val="006915D7"/>
    <w:rsid w:val="00692002"/>
    <w:rsid w:val="00692814"/>
    <w:rsid w:val="0069320E"/>
    <w:rsid w:val="006932E7"/>
    <w:rsid w:val="00693347"/>
    <w:rsid w:val="0069334C"/>
    <w:rsid w:val="00696D63"/>
    <w:rsid w:val="0069729C"/>
    <w:rsid w:val="006A032F"/>
    <w:rsid w:val="006A24DB"/>
    <w:rsid w:val="006A41AE"/>
    <w:rsid w:val="006A4856"/>
    <w:rsid w:val="006A530D"/>
    <w:rsid w:val="006A564B"/>
    <w:rsid w:val="006A5CBF"/>
    <w:rsid w:val="006B0386"/>
    <w:rsid w:val="006B08CF"/>
    <w:rsid w:val="006B0B90"/>
    <w:rsid w:val="006B1545"/>
    <w:rsid w:val="006B2DA7"/>
    <w:rsid w:val="006B2F4D"/>
    <w:rsid w:val="006B3682"/>
    <w:rsid w:val="006B48CB"/>
    <w:rsid w:val="006B4FE8"/>
    <w:rsid w:val="006B715C"/>
    <w:rsid w:val="006B7CE0"/>
    <w:rsid w:val="006C08C5"/>
    <w:rsid w:val="006C1445"/>
    <w:rsid w:val="006C2A59"/>
    <w:rsid w:val="006C3959"/>
    <w:rsid w:val="006C4FC1"/>
    <w:rsid w:val="006C51A5"/>
    <w:rsid w:val="006C529D"/>
    <w:rsid w:val="006C5670"/>
    <w:rsid w:val="006C58B2"/>
    <w:rsid w:val="006C65A1"/>
    <w:rsid w:val="006C7B01"/>
    <w:rsid w:val="006C7CC9"/>
    <w:rsid w:val="006C7CFC"/>
    <w:rsid w:val="006D0E6B"/>
    <w:rsid w:val="006D1073"/>
    <w:rsid w:val="006D2146"/>
    <w:rsid w:val="006D2D0B"/>
    <w:rsid w:val="006D632E"/>
    <w:rsid w:val="006D668E"/>
    <w:rsid w:val="006E094A"/>
    <w:rsid w:val="006E12B1"/>
    <w:rsid w:val="006E13D1"/>
    <w:rsid w:val="006E1A08"/>
    <w:rsid w:val="006E283E"/>
    <w:rsid w:val="006E2A4B"/>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C80"/>
    <w:rsid w:val="00702D5A"/>
    <w:rsid w:val="00702EF7"/>
    <w:rsid w:val="00703989"/>
    <w:rsid w:val="007042E9"/>
    <w:rsid w:val="0070687A"/>
    <w:rsid w:val="00710393"/>
    <w:rsid w:val="0071118B"/>
    <w:rsid w:val="00711E13"/>
    <w:rsid w:val="00712EDA"/>
    <w:rsid w:val="007136D0"/>
    <w:rsid w:val="007155A9"/>
    <w:rsid w:val="007158E1"/>
    <w:rsid w:val="00716005"/>
    <w:rsid w:val="0071705B"/>
    <w:rsid w:val="00720505"/>
    <w:rsid w:val="00721804"/>
    <w:rsid w:val="007236A3"/>
    <w:rsid w:val="007239B6"/>
    <w:rsid w:val="0072490A"/>
    <w:rsid w:val="0072517D"/>
    <w:rsid w:val="0072558B"/>
    <w:rsid w:val="00726878"/>
    <w:rsid w:val="0073124A"/>
    <w:rsid w:val="00731B79"/>
    <w:rsid w:val="00731EFA"/>
    <w:rsid w:val="007331CE"/>
    <w:rsid w:val="00733893"/>
    <w:rsid w:val="00734A05"/>
    <w:rsid w:val="00735C6F"/>
    <w:rsid w:val="007408D5"/>
    <w:rsid w:val="00742B44"/>
    <w:rsid w:val="007440FE"/>
    <w:rsid w:val="0074655A"/>
    <w:rsid w:val="007469B7"/>
    <w:rsid w:val="00746C78"/>
    <w:rsid w:val="00751B94"/>
    <w:rsid w:val="00753BB5"/>
    <w:rsid w:val="00756832"/>
    <w:rsid w:val="007626D0"/>
    <w:rsid w:val="007651CA"/>
    <w:rsid w:val="00767269"/>
    <w:rsid w:val="00767519"/>
    <w:rsid w:val="00767EE3"/>
    <w:rsid w:val="007704E1"/>
    <w:rsid w:val="00772569"/>
    <w:rsid w:val="00772E8C"/>
    <w:rsid w:val="007736D3"/>
    <w:rsid w:val="00773B54"/>
    <w:rsid w:val="0077500F"/>
    <w:rsid w:val="0077548E"/>
    <w:rsid w:val="00777315"/>
    <w:rsid w:val="00777387"/>
    <w:rsid w:val="007802CC"/>
    <w:rsid w:val="007802E4"/>
    <w:rsid w:val="00780919"/>
    <w:rsid w:val="007825F0"/>
    <w:rsid w:val="007826C8"/>
    <w:rsid w:val="00782972"/>
    <w:rsid w:val="00783ACA"/>
    <w:rsid w:val="00784190"/>
    <w:rsid w:val="0078457B"/>
    <w:rsid w:val="00784756"/>
    <w:rsid w:val="0078539D"/>
    <w:rsid w:val="007856C1"/>
    <w:rsid w:val="00786ED1"/>
    <w:rsid w:val="00787051"/>
    <w:rsid w:val="0079018D"/>
    <w:rsid w:val="00791A00"/>
    <w:rsid w:val="00791DBA"/>
    <w:rsid w:val="00791DC7"/>
    <w:rsid w:val="00792CEE"/>
    <w:rsid w:val="00794E92"/>
    <w:rsid w:val="0079656A"/>
    <w:rsid w:val="00796D86"/>
    <w:rsid w:val="00796F15"/>
    <w:rsid w:val="007A138F"/>
    <w:rsid w:val="007A1640"/>
    <w:rsid w:val="007A3723"/>
    <w:rsid w:val="007A39DF"/>
    <w:rsid w:val="007A3A7F"/>
    <w:rsid w:val="007A43ED"/>
    <w:rsid w:val="007A4920"/>
    <w:rsid w:val="007A4997"/>
    <w:rsid w:val="007A4BDD"/>
    <w:rsid w:val="007A6881"/>
    <w:rsid w:val="007A72EE"/>
    <w:rsid w:val="007B0397"/>
    <w:rsid w:val="007B3502"/>
    <w:rsid w:val="007B44ED"/>
    <w:rsid w:val="007B491A"/>
    <w:rsid w:val="007B5370"/>
    <w:rsid w:val="007B6123"/>
    <w:rsid w:val="007B61F5"/>
    <w:rsid w:val="007B63FA"/>
    <w:rsid w:val="007B7496"/>
    <w:rsid w:val="007B7AF5"/>
    <w:rsid w:val="007B7D52"/>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2BBA"/>
    <w:rsid w:val="007D3307"/>
    <w:rsid w:val="007D432A"/>
    <w:rsid w:val="007D5884"/>
    <w:rsid w:val="007D5A88"/>
    <w:rsid w:val="007D5E27"/>
    <w:rsid w:val="007D6F64"/>
    <w:rsid w:val="007D752A"/>
    <w:rsid w:val="007E12FD"/>
    <w:rsid w:val="007E25AB"/>
    <w:rsid w:val="007E2C70"/>
    <w:rsid w:val="007E45BC"/>
    <w:rsid w:val="007E5AC2"/>
    <w:rsid w:val="007E69FB"/>
    <w:rsid w:val="007E79C5"/>
    <w:rsid w:val="007F0036"/>
    <w:rsid w:val="007F143A"/>
    <w:rsid w:val="007F2845"/>
    <w:rsid w:val="007F43BC"/>
    <w:rsid w:val="007F43C1"/>
    <w:rsid w:val="007F4740"/>
    <w:rsid w:val="007F5CEB"/>
    <w:rsid w:val="007F6202"/>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065"/>
    <w:rsid w:val="0083350F"/>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C8C"/>
    <w:rsid w:val="00867651"/>
    <w:rsid w:val="008704A9"/>
    <w:rsid w:val="00870D04"/>
    <w:rsid w:val="0087121B"/>
    <w:rsid w:val="008714B6"/>
    <w:rsid w:val="0087238A"/>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6220"/>
    <w:rsid w:val="008E721F"/>
    <w:rsid w:val="008E7D63"/>
    <w:rsid w:val="008F00DB"/>
    <w:rsid w:val="008F110E"/>
    <w:rsid w:val="008F1264"/>
    <w:rsid w:val="008F47C6"/>
    <w:rsid w:val="008F4CF7"/>
    <w:rsid w:val="008F4EDF"/>
    <w:rsid w:val="008F5948"/>
    <w:rsid w:val="00900093"/>
    <w:rsid w:val="009006A2"/>
    <w:rsid w:val="0090102B"/>
    <w:rsid w:val="00901448"/>
    <w:rsid w:val="009026AD"/>
    <w:rsid w:val="009036BC"/>
    <w:rsid w:val="00903AFB"/>
    <w:rsid w:val="00905C47"/>
    <w:rsid w:val="00906379"/>
    <w:rsid w:val="0090638B"/>
    <w:rsid w:val="00906393"/>
    <w:rsid w:val="00907086"/>
    <w:rsid w:val="009101EA"/>
    <w:rsid w:val="009106FC"/>
    <w:rsid w:val="0091090F"/>
    <w:rsid w:val="009118BB"/>
    <w:rsid w:val="0091191F"/>
    <w:rsid w:val="00912A2F"/>
    <w:rsid w:val="009134E7"/>
    <w:rsid w:val="009148F3"/>
    <w:rsid w:val="00915B81"/>
    <w:rsid w:val="00915D6B"/>
    <w:rsid w:val="009160DF"/>
    <w:rsid w:val="009162C7"/>
    <w:rsid w:val="00916EC2"/>
    <w:rsid w:val="009178BD"/>
    <w:rsid w:val="009179DD"/>
    <w:rsid w:val="009213BD"/>
    <w:rsid w:val="00922DC3"/>
    <w:rsid w:val="00923AFA"/>
    <w:rsid w:val="00924627"/>
    <w:rsid w:val="009250A8"/>
    <w:rsid w:val="009255BA"/>
    <w:rsid w:val="00925BE6"/>
    <w:rsid w:val="0092658D"/>
    <w:rsid w:val="00926F61"/>
    <w:rsid w:val="0093123D"/>
    <w:rsid w:val="00933040"/>
    <w:rsid w:val="009330E9"/>
    <w:rsid w:val="00933850"/>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FE9"/>
    <w:rsid w:val="0095481C"/>
    <w:rsid w:val="00955D6B"/>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598"/>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CF4"/>
    <w:rsid w:val="009A1169"/>
    <w:rsid w:val="009A1AAC"/>
    <w:rsid w:val="009A3789"/>
    <w:rsid w:val="009A4860"/>
    <w:rsid w:val="009A6919"/>
    <w:rsid w:val="009A6AC7"/>
    <w:rsid w:val="009A6CC2"/>
    <w:rsid w:val="009A7831"/>
    <w:rsid w:val="009B0408"/>
    <w:rsid w:val="009B0843"/>
    <w:rsid w:val="009B1E47"/>
    <w:rsid w:val="009B20D0"/>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70DB"/>
    <w:rsid w:val="009D0E75"/>
    <w:rsid w:val="009D19BC"/>
    <w:rsid w:val="009D2348"/>
    <w:rsid w:val="009D2F0C"/>
    <w:rsid w:val="009D3578"/>
    <w:rsid w:val="009D3A5F"/>
    <w:rsid w:val="009D3EF3"/>
    <w:rsid w:val="009D5193"/>
    <w:rsid w:val="009D5C32"/>
    <w:rsid w:val="009D5D0B"/>
    <w:rsid w:val="009D6472"/>
    <w:rsid w:val="009D79F4"/>
    <w:rsid w:val="009E2B4C"/>
    <w:rsid w:val="009E308C"/>
    <w:rsid w:val="009E3CD1"/>
    <w:rsid w:val="009E4AB3"/>
    <w:rsid w:val="009E5AF5"/>
    <w:rsid w:val="009E5EB5"/>
    <w:rsid w:val="009E74F0"/>
    <w:rsid w:val="009F0768"/>
    <w:rsid w:val="009F7867"/>
    <w:rsid w:val="009F7D66"/>
    <w:rsid w:val="00A00BD2"/>
    <w:rsid w:val="00A00E56"/>
    <w:rsid w:val="00A01C99"/>
    <w:rsid w:val="00A027F3"/>
    <w:rsid w:val="00A02FAD"/>
    <w:rsid w:val="00A03978"/>
    <w:rsid w:val="00A05DF3"/>
    <w:rsid w:val="00A05F1A"/>
    <w:rsid w:val="00A0670C"/>
    <w:rsid w:val="00A0689F"/>
    <w:rsid w:val="00A07E08"/>
    <w:rsid w:val="00A12798"/>
    <w:rsid w:val="00A153BE"/>
    <w:rsid w:val="00A15DEE"/>
    <w:rsid w:val="00A15EB2"/>
    <w:rsid w:val="00A167B5"/>
    <w:rsid w:val="00A168A6"/>
    <w:rsid w:val="00A16DBE"/>
    <w:rsid w:val="00A17C4F"/>
    <w:rsid w:val="00A20653"/>
    <w:rsid w:val="00A20A39"/>
    <w:rsid w:val="00A21013"/>
    <w:rsid w:val="00A2190A"/>
    <w:rsid w:val="00A22681"/>
    <w:rsid w:val="00A238BD"/>
    <w:rsid w:val="00A23DA4"/>
    <w:rsid w:val="00A243E4"/>
    <w:rsid w:val="00A2459D"/>
    <w:rsid w:val="00A24E23"/>
    <w:rsid w:val="00A25F05"/>
    <w:rsid w:val="00A264BE"/>
    <w:rsid w:val="00A311AE"/>
    <w:rsid w:val="00A312A6"/>
    <w:rsid w:val="00A3130E"/>
    <w:rsid w:val="00A324CF"/>
    <w:rsid w:val="00A32E8B"/>
    <w:rsid w:val="00A32ED6"/>
    <w:rsid w:val="00A344A5"/>
    <w:rsid w:val="00A346C3"/>
    <w:rsid w:val="00A34ACA"/>
    <w:rsid w:val="00A42D07"/>
    <w:rsid w:val="00A450C0"/>
    <w:rsid w:val="00A45468"/>
    <w:rsid w:val="00A455F8"/>
    <w:rsid w:val="00A4791B"/>
    <w:rsid w:val="00A50A48"/>
    <w:rsid w:val="00A51242"/>
    <w:rsid w:val="00A51522"/>
    <w:rsid w:val="00A51573"/>
    <w:rsid w:val="00A51A5E"/>
    <w:rsid w:val="00A52895"/>
    <w:rsid w:val="00A53DA0"/>
    <w:rsid w:val="00A55350"/>
    <w:rsid w:val="00A5765D"/>
    <w:rsid w:val="00A607CB"/>
    <w:rsid w:val="00A6351F"/>
    <w:rsid w:val="00A65A70"/>
    <w:rsid w:val="00A66F36"/>
    <w:rsid w:val="00A676D9"/>
    <w:rsid w:val="00A67EFC"/>
    <w:rsid w:val="00A7031E"/>
    <w:rsid w:val="00A71140"/>
    <w:rsid w:val="00A71DC7"/>
    <w:rsid w:val="00A72B7B"/>
    <w:rsid w:val="00A7354E"/>
    <w:rsid w:val="00A73790"/>
    <w:rsid w:val="00A73917"/>
    <w:rsid w:val="00A73C9A"/>
    <w:rsid w:val="00A74692"/>
    <w:rsid w:val="00A75726"/>
    <w:rsid w:val="00A7618B"/>
    <w:rsid w:val="00A7640B"/>
    <w:rsid w:val="00A7778B"/>
    <w:rsid w:val="00A803BC"/>
    <w:rsid w:val="00A80969"/>
    <w:rsid w:val="00A84805"/>
    <w:rsid w:val="00A858C5"/>
    <w:rsid w:val="00A86EA7"/>
    <w:rsid w:val="00A91244"/>
    <w:rsid w:val="00A91778"/>
    <w:rsid w:val="00A91AA1"/>
    <w:rsid w:val="00A92776"/>
    <w:rsid w:val="00A93181"/>
    <w:rsid w:val="00A938E6"/>
    <w:rsid w:val="00A93CCF"/>
    <w:rsid w:val="00A940B1"/>
    <w:rsid w:val="00A95BD5"/>
    <w:rsid w:val="00A96F78"/>
    <w:rsid w:val="00AA1087"/>
    <w:rsid w:val="00AA25A9"/>
    <w:rsid w:val="00AA26D9"/>
    <w:rsid w:val="00AA3DEA"/>
    <w:rsid w:val="00AA4759"/>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C3"/>
    <w:rsid w:val="00AC60B4"/>
    <w:rsid w:val="00AD00C5"/>
    <w:rsid w:val="00AD165F"/>
    <w:rsid w:val="00AD2794"/>
    <w:rsid w:val="00AD2B9F"/>
    <w:rsid w:val="00AD2DC5"/>
    <w:rsid w:val="00AD3455"/>
    <w:rsid w:val="00AD3CAD"/>
    <w:rsid w:val="00AD5A83"/>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6DD9"/>
    <w:rsid w:val="00B06F15"/>
    <w:rsid w:val="00B07CD6"/>
    <w:rsid w:val="00B07E52"/>
    <w:rsid w:val="00B10010"/>
    <w:rsid w:val="00B11775"/>
    <w:rsid w:val="00B121C7"/>
    <w:rsid w:val="00B12632"/>
    <w:rsid w:val="00B12660"/>
    <w:rsid w:val="00B12F5F"/>
    <w:rsid w:val="00B1302D"/>
    <w:rsid w:val="00B149A6"/>
    <w:rsid w:val="00B1513F"/>
    <w:rsid w:val="00B15B31"/>
    <w:rsid w:val="00B15B89"/>
    <w:rsid w:val="00B171F5"/>
    <w:rsid w:val="00B1746F"/>
    <w:rsid w:val="00B17EA8"/>
    <w:rsid w:val="00B20725"/>
    <w:rsid w:val="00B20B94"/>
    <w:rsid w:val="00B2506B"/>
    <w:rsid w:val="00B2628E"/>
    <w:rsid w:val="00B26611"/>
    <w:rsid w:val="00B266B0"/>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1BB0"/>
    <w:rsid w:val="00B5239C"/>
    <w:rsid w:val="00B52C39"/>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E2A"/>
    <w:rsid w:val="00B90F2A"/>
    <w:rsid w:val="00B9198D"/>
    <w:rsid w:val="00B926CB"/>
    <w:rsid w:val="00B93008"/>
    <w:rsid w:val="00B94025"/>
    <w:rsid w:val="00B9406D"/>
    <w:rsid w:val="00B94BA7"/>
    <w:rsid w:val="00B94BE9"/>
    <w:rsid w:val="00B94E0E"/>
    <w:rsid w:val="00B97CA3"/>
    <w:rsid w:val="00BA2B80"/>
    <w:rsid w:val="00BA3D7B"/>
    <w:rsid w:val="00BA76A9"/>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504A"/>
    <w:rsid w:val="00BD598A"/>
    <w:rsid w:val="00BD75B4"/>
    <w:rsid w:val="00BD7BFE"/>
    <w:rsid w:val="00BD7D14"/>
    <w:rsid w:val="00BE02B4"/>
    <w:rsid w:val="00BE0A4E"/>
    <w:rsid w:val="00BE1553"/>
    <w:rsid w:val="00BE19DC"/>
    <w:rsid w:val="00BE41EC"/>
    <w:rsid w:val="00BE4EC9"/>
    <w:rsid w:val="00BE56B1"/>
    <w:rsid w:val="00BE631E"/>
    <w:rsid w:val="00BE71F7"/>
    <w:rsid w:val="00BF0CCF"/>
    <w:rsid w:val="00BF0FC5"/>
    <w:rsid w:val="00BF10BC"/>
    <w:rsid w:val="00BF21AC"/>
    <w:rsid w:val="00BF2E53"/>
    <w:rsid w:val="00BF3133"/>
    <w:rsid w:val="00BF3669"/>
    <w:rsid w:val="00BF3C0D"/>
    <w:rsid w:val="00BF711C"/>
    <w:rsid w:val="00BF7C74"/>
    <w:rsid w:val="00C00412"/>
    <w:rsid w:val="00C00ED8"/>
    <w:rsid w:val="00C02C53"/>
    <w:rsid w:val="00C03309"/>
    <w:rsid w:val="00C03452"/>
    <w:rsid w:val="00C067D5"/>
    <w:rsid w:val="00C072FE"/>
    <w:rsid w:val="00C07FDD"/>
    <w:rsid w:val="00C12E39"/>
    <w:rsid w:val="00C13DA5"/>
    <w:rsid w:val="00C14164"/>
    <w:rsid w:val="00C15D8E"/>
    <w:rsid w:val="00C17012"/>
    <w:rsid w:val="00C178FB"/>
    <w:rsid w:val="00C17FDC"/>
    <w:rsid w:val="00C22B28"/>
    <w:rsid w:val="00C22B5A"/>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4010"/>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528C"/>
    <w:rsid w:val="00C661E8"/>
    <w:rsid w:val="00C663A8"/>
    <w:rsid w:val="00C6648F"/>
    <w:rsid w:val="00C66D27"/>
    <w:rsid w:val="00C66E69"/>
    <w:rsid w:val="00C70084"/>
    <w:rsid w:val="00C7235B"/>
    <w:rsid w:val="00C725B1"/>
    <w:rsid w:val="00C72E18"/>
    <w:rsid w:val="00C731AD"/>
    <w:rsid w:val="00C73379"/>
    <w:rsid w:val="00C7380B"/>
    <w:rsid w:val="00C74421"/>
    <w:rsid w:val="00C7542D"/>
    <w:rsid w:val="00C75F2F"/>
    <w:rsid w:val="00C75FEE"/>
    <w:rsid w:val="00C76F1D"/>
    <w:rsid w:val="00C77D26"/>
    <w:rsid w:val="00C80BDF"/>
    <w:rsid w:val="00C84D39"/>
    <w:rsid w:val="00C85277"/>
    <w:rsid w:val="00C85556"/>
    <w:rsid w:val="00C85D76"/>
    <w:rsid w:val="00C864D4"/>
    <w:rsid w:val="00C873AC"/>
    <w:rsid w:val="00C87B1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D5"/>
    <w:rsid w:val="00CB09DA"/>
    <w:rsid w:val="00CB0BD9"/>
    <w:rsid w:val="00CB1CAC"/>
    <w:rsid w:val="00CB1D87"/>
    <w:rsid w:val="00CB1DE8"/>
    <w:rsid w:val="00CB1E3B"/>
    <w:rsid w:val="00CB1F1D"/>
    <w:rsid w:val="00CB3C8E"/>
    <w:rsid w:val="00CB4212"/>
    <w:rsid w:val="00CB45BC"/>
    <w:rsid w:val="00CB4C59"/>
    <w:rsid w:val="00CB600D"/>
    <w:rsid w:val="00CB71F8"/>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E1757"/>
    <w:rsid w:val="00CE2346"/>
    <w:rsid w:val="00CE2B02"/>
    <w:rsid w:val="00CE3B50"/>
    <w:rsid w:val="00CE4F2D"/>
    <w:rsid w:val="00CE6F0F"/>
    <w:rsid w:val="00CE7C7C"/>
    <w:rsid w:val="00CF002F"/>
    <w:rsid w:val="00CF0246"/>
    <w:rsid w:val="00CF0C02"/>
    <w:rsid w:val="00CF10F2"/>
    <w:rsid w:val="00CF1899"/>
    <w:rsid w:val="00CF2483"/>
    <w:rsid w:val="00CF24E2"/>
    <w:rsid w:val="00CF321D"/>
    <w:rsid w:val="00CF393D"/>
    <w:rsid w:val="00CF4ABD"/>
    <w:rsid w:val="00CF4B18"/>
    <w:rsid w:val="00CF5A53"/>
    <w:rsid w:val="00CF5D28"/>
    <w:rsid w:val="00CF66E9"/>
    <w:rsid w:val="00CF6942"/>
    <w:rsid w:val="00CF6F1E"/>
    <w:rsid w:val="00D001F9"/>
    <w:rsid w:val="00D0036E"/>
    <w:rsid w:val="00D00BB7"/>
    <w:rsid w:val="00D01EAD"/>
    <w:rsid w:val="00D02C1D"/>
    <w:rsid w:val="00D02C62"/>
    <w:rsid w:val="00D035B9"/>
    <w:rsid w:val="00D05C04"/>
    <w:rsid w:val="00D060FF"/>
    <w:rsid w:val="00D064E8"/>
    <w:rsid w:val="00D06572"/>
    <w:rsid w:val="00D065CD"/>
    <w:rsid w:val="00D07D93"/>
    <w:rsid w:val="00D11FA6"/>
    <w:rsid w:val="00D12325"/>
    <w:rsid w:val="00D14487"/>
    <w:rsid w:val="00D14DBB"/>
    <w:rsid w:val="00D15E7E"/>
    <w:rsid w:val="00D162EF"/>
    <w:rsid w:val="00D20016"/>
    <w:rsid w:val="00D207A7"/>
    <w:rsid w:val="00D20CD6"/>
    <w:rsid w:val="00D20E00"/>
    <w:rsid w:val="00D21005"/>
    <w:rsid w:val="00D21771"/>
    <w:rsid w:val="00D21DBE"/>
    <w:rsid w:val="00D2279F"/>
    <w:rsid w:val="00D22AF1"/>
    <w:rsid w:val="00D22E93"/>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4D66"/>
    <w:rsid w:val="00D45D77"/>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28AE"/>
    <w:rsid w:val="00D73077"/>
    <w:rsid w:val="00D736A2"/>
    <w:rsid w:val="00D73C57"/>
    <w:rsid w:val="00D742FF"/>
    <w:rsid w:val="00D758B3"/>
    <w:rsid w:val="00D76ADC"/>
    <w:rsid w:val="00D77413"/>
    <w:rsid w:val="00D7787C"/>
    <w:rsid w:val="00D80449"/>
    <w:rsid w:val="00D80978"/>
    <w:rsid w:val="00D81F10"/>
    <w:rsid w:val="00D8201E"/>
    <w:rsid w:val="00D822EC"/>
    <w:rsid w:val="00D8303C"/>
    <w:rsid w:val="00D836F7"/>
    <w:rsid w:val="00D84A57"/>
    <w:rsid w:val="00D84C3B"/>
    <w:rsid w:val="00D84DA7"/>
    <w:rsid w:val="00D864F8"/>
    <w:rsid w:val="00D874DF"/>
    <w:rsid w:val="00D87A12"/>
    <w:rsid w:val="00D930E1"/>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13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5E79"/>
    <w:rsid w:val="00DE737B"/>
    <w:rsid w:val="00DF0587"/>
    <w:rsid w:val="00DF0D72"/>
    <w:rsid w:val="00DF100B"/>
    <w:rsid w:val="00DF23CA"/>
    <w:rsid w:val="00DF2929"/>
    <w:rsid w:val="00DF3B76"/>
    <w:rsid w:val="00DF4359"/>
    <w:rsid w:val="00DF4C1A"/>
    <w:rsid w:val="00DF7751"/>
    <w:rsid w:val="00E031BB"/>
    <w:rsid w:val="00E0424A"/>
    <w:rsid w:val="00E0520E"/>
    <w:rsid w:val="00E0576C"/>
    <w:rsid w:val="00E0626B"/>
    <w:rsid w:val="00E068BC"/>
    <w:rsid w:val="00E073F0"/>
    <w:rsid w:val="00E106C5"/>
    <w:rsid w:val="00E10761"/>
    <w:rsid w:val="00E108E4"/>
    <w:rsid w:val="00E10C9B"/>
    <w:rsid w:val="00E11C9D"/>
    <w:rsid w:val="00E11D7A"/>
    <w:rsid w:val="00E11EEB"/>
    <w:rsid w:val="00E128F2"/>
    <w:rsid w:val="00E13883"/>
    <w:rsid w:val="00E13EE4"/>
    <w:rsid w:val="00E14A9A"/>
    <w:rsid w:val="00E16463"/>
    <w:rsid w:val="00E20155"/>
    <w:rsid w:val="00E239D1"/>
    <w:rsid w:val="00E26727"/>
    <w:rsid w:val="00E26970"/>
    <w:rsid w:val="00E27791"/>
    <w:rsid w:val="00E30F2D"/>
    <w:rsid w:val="00E319DB"/>
    <w:rsid w:val="00E31AFC"/>
    <w:rsid w:val="00E331BF"/>
    <w:rsid w:val="00E3409E"/>
    <w:rsid w:val="00E34F76"/>
    <w:rsid w:val="00E37BE5"/>
    <w:rsid w:val="00E41A27"/>
    <w:rsid w:val="00E41E2F"/>
    <w:rsid w:val="00E42910"/>
    <w:rsid w:val="00E430C7"/>
    <w:rsid w:val="00E457DC"/>
    <w:rsid w:val="00E4608B"/>
    <w:rsid w:val="00E464EC"/>
    <w:rsid w:val="00E46FF0"/>
    <w:rsid w:val="00E501D3"/>
    <w:rsid w:val="00E53A01"/>
    <w:rsid w:val="00E553CE"/>
    <w:rsid w:val="00E564C4"/>
    <w:rsid w:val="00E567C9"/>
    <w:rsid w:val="00E604C4"/>
    <w:rsid w:val="00E60809"/>
    <w:rsid w:val="00E60ED3"/>
    <w:rsid w:val="00E611AE"/>
    <w:rsid w:val="00E61300"/>
    <w:rsid w:val="00E6135E"/>
    <w:rsid w:val="00E614F2"/>
    <w:rsid w:val="00E635B9"/>
    <w:rsid w:val="00E65D15"/>
    <w:rsid w:val="00E66C49"/>
    <w:rsid w:val="00E67EE5"/>
    <w:rsid w:val="00E7013A"/>
    <w:rsid w:val="00E71099"/>
    <w:rsid w:val="00E74104"/>
    <w:rsid w:val="00E7473C"/>
    <w:rsid w:val="00E74F5D"/>
    <w:rsid w:val="00E750D8"/>
    <w:rsid w:val="00E757A8"/>
    <w:rsid w:val="00E76034"/>
    <w:rsid w:val="00E80440"/>
    <w:rsid w:val="00E80515"/>
    <w:rsid w:val="00E817E0"/>
    <w:rsid w:val="00E819FB"/>
    <w:rsid w:val="00E827D2"/>
    <w:rsid w:val="00E82AE8"/>
    <w:rsid w:val="00E82EE4"/>
    <w:rsid w:val="00E831E7"/>
    <w:rsid w:val="00E843B5"/>
    <w:rsid w:val="00E84A3B"/>
    <w:rsid w:val="00E85307"/>
    <w:rsid w:val="00E907E4"/>
    <w:rsid w:val="00E90924"/>
    <w:rsid w:val="00E90A24"/>
    <w:rsid w:val="00E90C34"/>
    <w:rsid w:val="00E917E6"/>
    <w:rsid w:val="00E919AC"/>
    <w:rsid w:val="00E93687"/>
    <w:rsid w:val="00E946A6"/>
    <w:rsid w:val="00E947E4"/>
    <w:rsid w:val="00E94C9F"/>
    <w:rsid w:val="00E96A29"/>
    <w:rsid w:val="00E96B28"/>
    <w:rsid w:val="00E96FE6"/>
    <w:rsid w:val="00EA0A5C"/>
    <w:rsid w:val="00EA0AD2"/>
    <w:rsid w:val="00EA0CF0"/>
    <w:rsid w:val="00EA1D43"/>
    <w:rsid w:val="00EA29B4"/>
    <w:rsid w:val="00EA4EC9"/>
    <w:rsid w:val="00EA54D5"/>
    <w:rsid w:val="00EA5E0F"/>
    <w:rsid w:val="00EA6103"/>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083"/>
    <w:rsid w:val="00EC249E"/>
    <w:rsid w:val="00EC2966"/>
    <w:rsid w:val="00EC2CFF"/>
    <w:rsid w:val="00EC5F2F"/>
    <w:rsid w:val="00EC651E"/>
    <w:rsid w:val="00EC692E"/>
    <w:rsid w:val="00EC745E"/>
    <w:rsid w:val="00EC7EAF"/>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3663"/>
    <w:rsid w:val="00EE41C4"/>
    <w:rsid w:val="00EE4A40"/>
    <w:rsid w:val="00EE619C"/>
    <w:rsid w:val="00EE76A9"/>
    <w:rsid w:val="00EE799E"/>
    <w:rsid w:val="00EE7B5A"/>
    <w:rsid w:val="00EE7C7E"/>
    <w:rsid w:val="00EE7CA8"/>
    <w:rsid w:val="00EE7FA7"/>
    <w:rsid w:val="00EF1093"/>
    <w:rsid w:val="00EF1707"/>
    <w:rsid w:val="00EF1FCB"/>
    <w:rsid w:val="00EF21C3"/>
    <w:rsid w:val="00EF2E6B"/>
    <w:rsid w:val="00EF44F4"/>
    <w:rsid w:val="00F0030E"/>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10C7"/>
    <w:rsid w:val="00F213FF"/>
    <w:rsid w:val="00F2260F"/>
    <w:rsid w:val="00F242AD"/>
    <w:rsid w:val="00F247F2"/>
    <w:rsid w:val="00F252A8"/>
    <w:rsid w:val="00F25C8F"/>
    <w:rsid w:val="00F2608D"/>
    <w:rsid w:val="00F265F7"/>
    <w:rsid w:val="00F27FA6"/>
    <w:rsid w:val="00F33DC8"/>
    <w:rsid w:val="00F34444"/>
    <w:rsid w:val="00F360A6"/>
    <w:rsid w:val="00F37F25"/>
    <w:rsid w:val="00F4065A"/>
    <w:rsid w:val="00F40F19"/>
    <w:rsid w:val="00F4275C"/>
    <w:rsid w:val="00F45693"/>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A00"/>
    <w:rsid w:val="00F66E2D"/>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E7F"/>
    <w:rsid w:val="00FA6EF4"/>
    <w:rsid w:val="00FA7114"/>
    <w:rsid w:val="00FB0826"/>
    <w:rsid w:val="00FB2379"/>
    <w:rsid w:val="00FB4407"/>
    <w:rsid w:val="00FB4B8A"/>
    <w:rsid w:val="00FB5152"/>
    <w:rsid w:val="00FB680E"/>
    <w:rsid w:val="00FC0065"/>
    <w:rsid w:val="00FC15E7"/>
    <w:rsid w:val="00FC3AEE"/>
    <w:rsid w:val="00FC6238"/>
    <w:rsid w:val="00FC78AD"/>
    <w:rsid w:val="00FD0D70"/>
    <w:rsid w:val="00FD1D37"/>
    <w:rsid w:val="00FD254A"/>
    <w:rsid w:val="00FD33FC"/>
    <w:rsid w:val="00FD3730"/>
    <w:rsid w:val="00FD3ADE"/>
    <w:rsid w:val="00FD3B08"/>
    <w:rsid w:val="00FD4806"/>
    <w:rsid w:val="00FD4BA4"/>
    <w:rsid w:val="00FD534E"/>
    <w:rsid w:val="00FD56C7"/>
    <w:rsid w:val="00FD5CBB"/>
    <w:rsid w:val="00FD67B9"/>
    <w:rsid w:val="00FD6B74"/>
    <w:rsid w:val="00FD70AE"/>
    <w:rsid w:val="00FD7356"/>
    <w:rsid w:val="00FD7564"/>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42A0"/>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locked/>
    <w:rsid w:val="0003163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1950963">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68572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0854973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5AIRPNAIUNRU-1830940522-3210</_dlc_DocId>
    <_dlc_DocIdUrl xmlns="71c5aaf6-e6ce-465b-b873-5148d2a4c105">
      <Url>https://nokia.sharepoint.com/sites/c5g/5gradio/_layouts/15/DocIdRedir.aspx?ID=5AIRPNAIUNRU-1830940522-3210</Url>
      <Description>5AIRPNAIUNRU-1830940522-3210</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3AE1B-2656-4052-BC86-8AD1B236D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5.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6.xml><?xml version="1.0" encoding="utf-8"?>
<ds:datastoreItem xmlns:ds="http://schemas.openxmlformats.org/officeDocument/2006/customXml" ds:itemID="{68CB0224-B45F-4DFB-AE62-2ABB55B57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5</Pages>
  <Words>2264</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Ye, Sigen (Nokia - US/Murray Hill)</cp:lastModifiedBy>
  <cp:revision>6</cp:revision>
  <cp:lastPrinted>2016-06-20T11:35:00Z</cp:lastPrinted>
  <dcterms:created xsi:type="dcterms:W3CDTF">2018-05-08T10:25:00Z</dcterms:created>
  <dcterms:modified xsi:type="dcterms:W3CDTF">2018-05-12T02:31:00Z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cd47f89f-e92c-4863-a632-59726528e62b</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